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452EA" w14:textId="2A013C2A" w:rsidR="006768CC" w:rsidRPr="00BC7EB9" w:rsidRDefault="00C62CAA" w:rsidP="0088664A">
      <w:pPr>
        <w:pStyle w:val="TituloDasNoticias"/>
        <w:spacing w:line="240" w:lineRule="auto"/>
        <w:jc w:val="center"/>
        <w:rPr>
          <w:rFonts w:asciiTheme="minorHAnsi" w:hAnsiTheme="minorHAnsi" w:cstheme="minorHAnsi"/>
          <w:caps w:val="0"/>
          <w:color w:val="0070C0"/>
          <w:spacing w:val="0"/>
          <w:sz w:val="28"/>
          <w:szCs w:val="28"/>
          <w:lang w:val="pt-BR"/>
        </w:rPr>
      </w:pPr>
      <w:r>
        <w:rPr>
          <w:rFonts w:asciiTheme="minorHAnsi" w:hAnsiTheme="minorHAnsi" w:cstheme="minorHAnsi"/>
          <w:caps w:val="0"/>
          <w:color w:val="0070C0"/>
          <w:spacing w:val="0"/>
          <w:sz w:val="28"/>
          <w:szCs w:val="28"/>
          <w:lang w:val="pt-BR"/>
        </w:rPr>
        <w:t>S</w:t>
      </w:r>
      <w:r w:rsidR="006204DD" w:rsidRPr="00BC7EB9">
        <w:rPr>
          <w:rFonts w:asciiTheme="minorHAnsi" w:hAnsiTheme="minorHAnsi" w:cstheme="minorHAnsi"/>
          <w:caps w:val="0"/>
          <w:color w:val="0070C0"/>
          <w:spacing w:val="0"/>
          <w:sz w:val="28"/>
          <w:szCs w:val="28"/>
          <w:lang w:val="pt-BR"/>
        </w:rPr>
        <w:t xml:space="preserve">istemas </w:t>
      </w:r>
      <w:r w:rsidR="006A7498">
        <w:rPr>
          <w:rFonts w:asciiTheme="minorHAnsi" w:hAnsiTheme="minorHAnsi" w:cstheme="minorHAnsi"/>
          <w:caps w:val="0"/>
          <w:color w:val="0070C0"/>
          <w:spacing w:val="0"/>
          <w:sz w:val="28"/>
          <w:szCs w:val="28"/>
          <w:lang w:val="pt-BR"/>
        </w:rPr>
        <w:t>de automação</w:t>
      </w:r>
      <w:r w:rsidR="006204DD" w:rsidRPr="00BC7EB9">
        <w:rPr>
          <w:rFonts w:asciiTheme="minorHAnsi" w:hAnsiTheme="minorHAnsi" w:cstheme="minorHAnsi"/>
          <w:caps w:val="0"/>
          <w:color w:val="0070C0"/>
          <w:spacing w:val="0"/>
          <w:sz w:val="28"/>
          <w:szCs w:val="28"/>
          <w:lang w:val="pt-BR"/>
        </w:rPr>
        <w:t xml:space="preserve"> intrinsecamente seguros – Ex “i”</w:t>
      </w:r>
      <w:r w:rsidR="00F2723D">
        <w:rPr>
          <w:rFonts w:asciiTheme="minorHAnsi" w:hAnsiTheme="minorHAnsi" w:cstheme="minorHAnsi"/>
          <w:caps w:val="0"/>
          <w:color w:val="0070C0"/>
          <w:spacing w:val="0"/>
          <w:sz w:val="28"/>
          <w:szCs w:val="28"/>
          <w:lang w:val="pt-BR"/>
        </w:rPr>
        <w:t xml:space="preserve">: Do projeto à </w:t>
      </w:r>
      <w:r w:rsidR="0055592A">
        <w:rPr>
          <w:rFonts w:asciiTheme="minorHAnsi" w:hAnsiTheme="minorHAnsi" w:cstheme="minorHAnsi"/>
          <w:caps w:val="0"/>
          <w:color w:val="0070C0"/>
          <w:spacing w:val="0"/>
          <w:sz w:val="28"/>
          <w:szCs w:val="28"/>
          <w:lang w:val="pt-BR"/>
        </w:rPr>
        <w:t>instalação</w:t>
      </w:r>
    </w:p>
    <w:p w14:paraId="59FDB8BE" w14:textId="77777777" w:rsidR="00241236" w:rsidRPr="0088664A" w:rsidRDefault="00241236" w:rsidP="0088664A">
      <w:pPr>
        <w:pStyle w:val="Normal1"/>
        <w:spacing w:line="240" w:lineRule="auto"/>
        <w:ind w:firstLine="0"/>
        <w:rPr>
          <w:rFonts w:asciiTheme="minorHAnsi" w:hAnsiTheme="minorHAnsi" w:cstheme="minorHAnsi"/>
          <w:sz w:val="22"/>
          <w:szCs w:val="22"/>
          <w:lang w:val="pt-BR"/>
        </w:rPr>
      </w:pPr>
    </w:p>
    <w:p w14:paraId="75A533C7" w14:textId="77777777" w:rsidR="006204DD" w:rsidRPr="006A7498" w:rsidRDefault="006204DD" w:rsidP="0088664A">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Introdução</w:t>
      </w:r>
    </w:p>
    <w:p w14:paraId="5DC04291"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3C69675"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 proteção de equipamentos e circuitos por “segurança intrínseca” tem, por objetivo fundamental, que seja evitada a possibilidade de ocorrência de uma ignição em áreas classificadas contendo atmosferas explosivas. Este conceito de segurança representa uma abordagem muito mais segura do que a contenção da energia proveniente de uma explosão, como previsto em outros tipos de proteção “Ex”. O tipo de proteção “i” fornece facilidades de </w:t>
      </w:r>
      <w:r w:rsidRPr="0088664A">
        <w:rPr>
          <w:rFonts w:cstheme="minorHAnsi"/>
          <w:b/>
        </w:rPr>
        <w:t>manutenção</w:t>
      </w:r>
      <w:r w:rsidRPr="0088664A">
        <w:rPr>
          <w:rFonts w:cstheme="minorHAnsi"/>
        </w:rPr>
        <w:t xml:space="preserve"> durante o período de operação da planta permitem que procedimentos convencionais de instrumentação sejam utilizados, sem a necessidade de desligamentos de circuitos ou das necessidades de aplicação de complexos procedimentos de liberação de trabalho baseados em áreas livres de gases inflamáveis.</w:t>
      </w:r>
    </w:p>
    <w:p w14:paraId="6486E1EA"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595BEED"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Sob o ponto de vista das atividades de projeto, instalação, manutenção, inspeção e reparos, deve ser ressaltado que a aquisição de instrumentos e dispositivos associados que tenham sido devidamente fabricados, ensaiados em fábrica e certificados como sendo intrinsecamente seguros não é suficiente para garantir os elevados níveis de segurança requeridos pelas instalações industriais com a presença de atmosferas explosivas. Desta forma, há a necessidade que as pessoas envolvidas nestas atividades possuam as devidas </w:t>
      </w:r>
      <w:r w:rsidRPr="0088664A">
        <w:rPr>
          <w:rFonts w:cstheme="minorHAnsi"/>
          <w:b/>
        </w:rPr>
        <w:t>competências pessoais</w:t>
      </w:r>
      <w:r w:rsidRPr="0088664A">
        <w:rPr>
          <w:rFonts w:cstheme="minorHAnsi"/>
        </w:rPr>
        <w:t>, de forma que possam executar adequadamente e com resultados seguros as funções para as quais são responsáveis.</w:t>
      </w:r>
    </w:p>
    <w:p w14:paraId="7CCA59AB"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9DEF193"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As atividades de inspeção e de manutenção dos equipamentos e sistemas intrinsecamente seguros podem ser consideradas como sendo um dos </w:t>
      </w:r>
      <w:r w:rsidR="00D6606B" w:rsidRPr="0088664A">
        <w:rPr>
          <w:rFonts w:cstheme="minorHAnsi"/>
        </w:rPr>
        <w:t>“</w:t>
      </w:r>
      <w:r w:rsidRPr="0088664A">
        <w:rPr>
          <w:rFonts w:cstheme="minorHAnsi"/>
          <w:b/>
        </w:rPr>
        <w:t>elos</w:t>
      </w:r>
      <w:r w:rsidR="00D6606B" w:rsidRPr="0088664A">
        <w:rPr>
          <w:rFonts w:cstheme="minorHAnsi"/>
        </w:rPr>
        <w:t>”</w:t>
      </w:r>
      <w:r w:rsidRPr="0088664A">
        <w:rPr>
          <w:rFonts w:cstheme="minorHAnsi"/>
        </w:rPr>
        <w:t xml:space="preserve"> mais importantes na corrente de ações de segurança que englobam as instalações “Ex”. Isto se deve ao fato de que as inspeções periódicas asseguram que as características da proteção “i” continuem a existir, durante todo o tempo em que os equipamentos permanecem instalados em áreas de risco, o que pode se prolongar durante décadas de operação das plantas industriais.</w:t>
      </w:r>
    </w:p>
    <w:p w14:paraId="78E6895D"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F30A374" w14:textId="31026D7B"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Este artigo descreve os requisitos indicados nas Normas </w:t>
      </w:r>
      <w:r w:rsidR="001C584B" w:rsidRPr="0088664A">
        <w:rPr>
          <w:rFonts w:cstheme="minorHAnsi"/>
        </w:rPr>
        <w:t xml:space="preserve">Técnicas Brasileiras adotadas </w:t>
      </w:r>
      <w:r w:rsidRPr="00F2723D">
        <w:rPr>
          <w:rFonts w:cstheme="minorHAnsi"/>
          <w:b/>
        </w:rPr>
        <w:t>ABNT NBR IEC 60079</w:t>
      </w:r>
      <w:r w:rsidRPr="0088664A">
        <w:rPr>
          <w:rFonts w:cstheme="minorHAnsi"/>
        </w:rPr>
        <w:t xml:space="preserve"> </w:t>
      </w:r>
      <w:r w:rsidR="001C584B" w:rsidRPr="0088664A">
        <w:rPr>
          <w:rFonts w:cstheme="minorHAnsi"/>
        </w:rPr>
        <w:t>–</w:t>
      </w:r>
      <w:r w:rsidRPr="0088664A">
        <w:rPr>
          <w:rFonts w:cstheme="minorHAnsi"/>
        </w:rPr>
        <w:t xml:space="preserve"> </w:t>
      </w:r>
      <w:r w:rsidR="001C584B" w:rsidRPr="0088664A">
        <w:rPr>
          <w:rFonts w:cstheme="minorHAnsi"/>
          <w:b/>
        </w:rPr>
        <w:t>Parte 11</w:t>
      </w:r>
      <w:r w:rsidR="001C584B" w:rsidRPr="0088664A">
        <w:rPr>
          <w:rFonts w:cstheme="minorHAnsi"/>
        </w:rPr>
        <w:t xml:space="preserve"> (</w:t>
      </w:r>
      <w:r w:rsidR="00F2723D" w:rsidRPr="0088664A">
        <w:rPr>
          <w:rFonts w:cstheme="minorHAnsi"/>
        </w:rPr>
        <w:t xml:space="preserve">Equipamentos </w:t>
      </w:r>
      <w:r w:rsidR="00F2723D">
        <w:rPr>
          <w:rFonts w:cstheme="minorHAnsi"/>
        </w:rPr>
        <w:t xml:space="preserve">com tipo de proteção </w:t>
      </w:r>
      <w:r w:rsidR="001C584B" w:rsidRPr="0088664A">
        <w:rPr>
          <w:rFonts w:cstheme="minorHAnsi"/>
        </w:rPr>
        <w:t xml:space="preserve">Ex “i”), </w:t>
      </w:r>
      <w:r w:rsidRPr="0088664A">
        <w:rPr>
          <w:rFonts w:cstheme="minorHAnsi"/>
          <w:b/>
        </w:rPr>
        <w:t>Parte 14</w:t>
      </w:r>
      <w:r w:rsidR="001C584B" w:rsidRPr="0088664A">
        <w:rPr>
          <w:rFonts w:cstheme="minorHAnsi"/>
        </w:rPr>
        <w:t xml:space="preserve"> (Projeto e montagem “Ex”)</w:t>
      </w:r>
      <w:r w:rsidRPr="0088664A">
        <w:rPr>
          <w:rFonts w:cstheme="minorHAnsi"/>
        </w:rPr>
        <w:t xml:space="preserve">, </w:t>
      </w:r>
      <w:r w:rsidR="001C584B" w:rsidRPr="0088664A">
        <w:rPr>
          <w:rFonts w:cstheme="minorHAnsi"/>
          <w:b/>
        </w:rPr>
        <w:t xml:space="preserve">Parte </w:t>
      </w:r>
      <w:r w:rsidRPr="0088664A">
        <w:rPr>
          <w:rFonts w:cstheme="minorHAnsi"/>
          <w:b/>
        </w:rPr>
        <w:t>17</w:t>
      </w:r>
      <w:r w:rsidR="001C584B" w:rsidRPr="0088664A">
        <w:rPr>
          <w:rFonts w:cstheme="minorHAnsi"/>
        </w:rPr>
        <w:t xml:space="preserve"> (Inspeção e manutenção “Ex”)</w:t>
      </w:r>
      <w:r w:rsidRPr="0088664A">
        <w:rPr>
          <w:rFonts w:cstheme="minorHAnsi"/>
        </w:rPr>
        <w:t xml:space="preserve">, </w:t>
      </w:r>
      <w:r w:rsidR="001C584B" w:rsidRPr="0088664A">
        <w:rPr>
          <w:rFonts w:cstheme="minorHAnsi"/>
          <w:b/>
        </w:rPr>
        <w:t xml:space="preserve">Parte </w:t>
      </w:r>
      <w:r w:rsidRPr="0088664A">
        <w:rPr>
          <w:rFonts w:cstheme="minorHAnsi"/>
          <w:b/>
        </w:rPr>
        <w:t>19</w:t>
      </w:r>
      <w:r w:rsidR="001C584B" w:rsidRPr="0088664A">
        <w:rPr>
          <w:rFonts w:cstheme="minorHAnsi"/>
        </w:rPr>
        <w:t xml:space="preserve"> (Reparo e recuperação “Ex”)</w:t>
      </w:r>
      <w:r w:rsidRPr="0088664A">
        <w:rPr>
          <w:rFonts w:cstheme="minorHAnsi"/>
        </w:rPr>
        <w:t xml:space="preserve">, </w:t>
      </w:r>
      <w:r w:rsidR="001C584B" w:rsidRPr="0088664A">
        <w:rPr>
          <w:rFonts w:cstheme="minorHAnsi"/>
          <w:b/>
        </w:rPr>
        <w:t xml:space="preserve">Parte </w:t>
      </w:r>
      <w:r w:rsidRPr="0088664A">
        <w:rPr>
          <w:rFonts w:cstheme="minorHAnsi"/>
          <w:b/>
        </w:rPr>
        <w:t>25</w:t>
      </w:r>
      <w:r w:rsidRPr="0088664A">
        <w:rPr>
          <w:rFonts w:cstheme="minorHAnsi"/>
        </w:rPr>
        <w:t xml:space="preserve"> </w:t>
      </w:r>
      <w:r w:rsidR="001C584B" w:rsidRPr="0088664A">
        <w:rPr>
          <w:rFonts w:cstheme="minorHAnsi"/>
        </w:rPr>
        <w:t xml:space="preserve">(Sistemas intrinsecamente seguros) </w:t>
      </w:r>
      <w:r w:rsidRPr="0088664A">
        <w:rPr>
          <w:rFonts w:cstheme="minorHAnsi"/>
        </w:rPr>
        <w:t xml:space="preserve">e </w:t>
      </w:r>
      <w:r w:rsidR="001C584B" w:rsidRPr="0088664A">
        <w:rPr>
          <w:rFonts w:cstheme="minorHAnsi"/>
          <w:b/>
        </w:rPr>
        <w:t>Parte 39</w:t>
      </w:r>
      <w:r w:rsidR="001C584B" w:rsidRPr="0088664A">
        <w:rPr>
          <w:rFonts w:cstheme="minorHAnsi"/>
        </w:rPr>
        <w:t xml:space="preserve"> (Segurança intrínseca de potência</w:t>
      </w:r>
      <w:r w:rsidR="00F640CE">
        <w:rPr>
          <w:rFonts w:cstheme="minorHAnsi"/>
        </w:rPr>
        <w:t xml:space="preserve"> – </w:t>
      </w:r>
      <w:r w:rsidR="00F640CE" w:rsidRPr="00F640CE">
        <w:rPr>
          <w:rFonts w:cstheme="minorHAnsi"/>
          <w:i/>
        </w:rPr>
        <w:t>Power</w:t>
      </w:r>
      <w:r w:rsidR="00F640CE">
        <w:rPr>
          <w:rFonts w:cstheme="minorHAnsi"/>
          <w:i/>
        </w:rPr>
        <w:t> </w:t>
      </w:r>
      <w:r w:rsidR="00F640CE" w:rsidRPr="00F640CE">
        <w:rPr>
          <w:rFonts w:cstheme="minorHAnsi"/>
          <w:i/>
        </w:rPr>
        <w:t>“i”</w:t>
      </w:r>
      <w:r w:rsidR="001C584B" w:rsidRPr="0088664A">
        <w:rPr>
          <w:rFonts w:cstheme="minorHAnsi"/>
        </w:rPr>
        <w:t>)</w:t>
      </w:r>
      <w:r w:rsidRPr="0088664A">
        <w:rPr>
          <w:rFonts w:cstheme="minorHAnsi"/>
        </w:rPr>
        <w:t xml:space="preserve"> envolvendo </w:t>
      </w:r>
      <w:r w:rsidR="00F2723D">
        <w:rPr>
          <w:rFonts w:cstheme="minorHAnsi"/>
        </w:rPr>
        <w:t xml:space="preserve">a execução o supervisão das atividades de </w:t>
      </w:r>
      <w:r w:rsidRPr="00F2723D">
        <w:rPr>
          <w:rFonts w:cstheme="minorHAnsi"/>
          <w:b/>
        </w:rPr>
        <w:t xml:space="preserve">projeto, montagem, inspeção, manutenção e </w:t>
      </w:r>
      <w:r w:rsidR="00F2723D">
        <w:rPr>
          <w:rFonts w:cstheme="minorHAnsi"/>
          <w:b/>
        </w:rPr>
        <w:t>recuperação</w:t>
      </w:r>
      <w:r w:rsidRPr="0088664A">
        <w:rPr>
          <w:rFonts w:cstheme="minorHAnsi"/>
        </w:rPr>
        <w:t xml:space="preserve"> de sistemas e equipamentos intrinsecamente seguros </w:t>
      </w:r>
      <w:r w:rsidR="00F2723D">
        <w:rPr>
          <w:rFonts w:cstheme="minorHAnsi"/>
        </w:rPr>
        <w:t>(</w:t>
      </w:r>
      <w:r w:rsidR="00F2723D" w:rsidRPr="00F2723D">
        <w:rPr>
          <w:rFonts w:cstheme="minorHAnsi"/>
          <w:b/>
        </w:rPr>
        <w:t>Ex i</w:t>
      </w:r>
      <w:r w:rsidR="00F2723D">
        <w:rPr>
          <w:rFonts w:cstheme="minorHAnsi"/>
        </w:rPr>
        <w:t xml:space="preserve">) </w:t>
      </w:r>
      <w:r w:rsidRPr="0088664A">
        <w:rPr>
          <w:rFonts w:cstheme="minorHAnsi"/>
        </w:rPr>
        <w:t xml:space="preserve">e </w:t>
      </w:r>
      <w:r w:rsidR="00F2723D">
        <w:rPr>
          <w:rFonts w:cstheme="minorHAnsi"/>
        </w:rPr>
        <w:t xml:space="preserve">equipamentos intrinsecamente seguros </w:t>
      </w:r>
      <w:r w:rsidRPr="0088664A">
        <w:rPr>
          <w:rFonts w:cstheme="minorHAnsi"/>
        </w:rPr>
        <w:t>associados</w:t>
      </w:r>
      <w:r w:rsidR="00F2723D">
        <w:rPr>
          <w:rFonts w:cstheme="minorHAnsi"/>
        </w:rPr>
        <w:t xml:space="preserve"> (</w:t>
      </w:r>
      <w:r w:rsidR="00F2723D" w:rsidRPr="00F2723D">
        <w:rPr>
          <w:rFonts w:cstheme="minorHAnsi"/>
          <w:b/>
        </w:rPr>
        <w:t>[Ex i]</w:t>
      </w:r>
      <w:r w:rsidR="00F2723D">
        <w:rPr>
          <w:rFonts w:cstheme="minorHAnsi"/>
        </w:rPr>
        <w:t>)</w:t>
      </w:r>
      <w:r w:rsidRPr="0088664A">
        <w:rPr>
          <w:rFonts w:cstheme="minorHAnsi"/>
        </w:rPr>
        <w:t>.</w:t>
      </w:r>
    </w:p>
    <w:p w14:paraId="47FB7DEB"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61A85FA" w14:textId="77777777" w:rsidR="007358DF" w:rsidRPr="0088664A" w:rsidRDefault="007358D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29286FD" w14:textId="77777777" w:rsidR="006204DD" w:rsidRPr="006A7498" w:rsidRDefault="006204DD" w:rsidP="0088664A">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Conceitos básicos de segurança intrínseca</w:t>
      </w:r>
    </w:p>
    <w:p w14:paraId="1A51501C" w14:textId="77777777" w:rsidR="007358DF" w:rsidRPr="0088664A" w:rsidRDefault="007358D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C7AFE7D" w14:textId="01C245D2" w:rsidR="006204DD"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Um sistema intrinsecamente seguro pode ser definido como aquele que é </w:t>
      </w:r>
      <w:r w:rsidRPr="0088664A">
        <w:rPr>
          <w:rFonts w:cstheme="minorHAnsi"/>
          <w:b/>
        </w:rPr>
        <w:t>incapaz</w:t>
      </w:r>
      <w:r w:rsidRPr="0088664A">
        <w:rPr>
          <w:rFonts w:cstheme="minorHAnsi"/>
        </w:rPr>
        <w:t xml:space="preserve"> de liberar energia, seja na forma elétrica ou térmica, suficiente para provocar a </w:t>
      </w:r>
      <w:r w:rsidRPr="0088664A">
        <w:rPr>
          <w:rFonts w:cstheme="minorHAnsi"/>
          <w:b/>
        </w:rPr>
        <w:t>ignição</w:t>
      </w:r>
      <w:r w:rsidRPr="0088664A">
        <w:rPr>
          <w:rFonts w:cstheme="minorHAnsi"/>
        </w:rPr>
        <w:t xml:space="preserve"> de determinada mistura explosiva que possa estar presente no local. A impossibilidade de ignição deve ser mantida e garantida mesmo em caso de ocorrência de falha ou falhas do sistema. </w:t>
      </w:r>
    </w:p>
    <w:p w14:paraId="5581E3B7" w14:textId="4391EC38" w:rsidR="006204DD" w:rsidRDefault="00C50580" w:rsidP="00C50580">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C50580">
        <w:rPr>
          <w:noProof/>
        </w:rPr>
        <w:drawing>
          <wp:inline distT="0" distB="0" distL="0" distR="0" wp14:anchorId="752FF019" wp14:editId="4B1AE744">
            <wp:extent cx="4106197" cy="2135222"/>
            <wp:effectExtent l="0" t="0" r="889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17233" cy="2140961"/>
                    </a:xfrm>
                    <a:prstGeom prst="rect">
                      <a:avLst/>
                    </a:prstGeom>
                  </pic:spPr>
                </pic:pic>
              </a:graphicData>
            </a:graphic>
          </wp:inline>
        </w:drawing>
      </w:r>
    </w:p>
    <w:p w14:paraId="501FFEFA" w14:textId="01A15E58" w:rsidR="008005D1" w:rsidRPr="002C3D6F" w:rsidRDefault="002C3D6F" w:rsidP="00C50580">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2C3D6F">
        <w:rPr>
          <w:rFonts w:cstheme="minorHAnsi"/>
          <w:i/>
          <w:sz w:val="18"/>
        </w:rPr>
        <w:t>Conceito da s</w:t>
      </w:r>
      <w:r w:rsidR="008005D1" w:rsidRPr="002C3D6F">
        <w:rPr>
          <w:rFonts w:cstheme="minorHAnsi"/>
          <w:i/>
          <w:sz w:val="18"/>
        </w:rPr>
        <w:t>egurança intrínseca</w:t>
      </w:r>
      <w:r w:rsidRPr="002C3D6F">
        <w:rPr>
          <w:rFonts w:cstheme="minorHAnsi"/>
          <w:i/>
          <w:sz w:val="18"/>
        </w:rPr>
        <w:t xml:space="preserve">: </w:t>
      </w:r>
      <w:r w:rsidRPr="002C3D6F">
        <w:rPr>
          <w:rFonts w:cstheme="minorHAnsi"/>
          <w:b/>
          <w:i/>
          <w:sz w:val="18"/>
        </w:rPr>
        <w:t>Limitação de energia elétrica no circuito</w:t>
      </w:r>
      <w:r w:rsidRPr="002C3D6F">
        <w:rPr>
          <w:rFonts w:cstheme="minorHAnsi"/>
          <w:i/>
          <w:sz w:val="18"/>
        </w:rPr>
        <w:t xml:space="preserve">, de forma que não </w:t>
      </w:r>
      <w:r>
        <w:rPr>
          <w:rFonts w:cstheme="minorHAnsi"/>
          <w:i/>
          <w:sz w:val="18"/>
        </w:rPr>
        <w:t>possível a</w:t>
      </w:r>
      <w:r w:rsidRPr="002C3D6F">
        <w:rPr>
          <w:rFonts w:cstheme="minorHAnsi"/>
          <w:i/>
          <w:sz w:val="18"/>
        </w:rPr>
        <w:t xml:space="preserve"> </w:t>
      </w:r>
      <w:r>
        <w:rPr>
          <w:rFonts w:cstheme="minorHAnsi"/>
          <w:i/>
          <w:sz w:val="18"/>
        </w:rPr>
        <w:t>geração de</w:t>
      </w:r>
      <w:r w:rsidRPr="002C3D6F">
        <w:rPr>
          <w:rFonts w:cstheme="minorHAnsi"/>
          <w:i/>
          <w:sz w:val="18"/>
        </w:rPr>
        <w:t xml:space="preserve"> faísca capaz de causar a ignição da atmosfera explosiva de </w:t>
      </w:r>
      <w:r w:rsidRPr="002C3D6F">
        <w:rPr>
          <w:rFonts w:cstheme="minorHAnsi"/>
          <w:b/>
          <w:i/>
          <w:sz w:val="18"/>
        </w:rPr>
        <w:t>gás inflamável</w:t>
      </w:r>
      <w:r w:rsidRPr="002C3D6F">
        <w:rPr>
          <w:rFonts w:cstheme="minorHAnsi"/>
          <w:i/>
          <w:sz w:val="18"/>
        </w:rPr>
        <w:t xml:space="preserve"> ou </w:t>
      </w:r>
      <w:r w:rsidRPr="002C3D6F">
        <w:rPr>
          <w:rFonts w:cstheme="minorHAnsi"/>
          <w:b/>
          <w:i/>
          <w:sz w:val="18"/>
        </w:rPr>
        <w:t>de poeira combustível</w:t>
      </w:r>
      <w:r w:rsidRPr="002C3D6F">
        <w:rPr>
          <w:rFonts w:cstheme="minorHAnsi"/>
          <w:i/>
          <w:sz w:val="18"/>
        </w:rPr>
        <w:t xml:space="preserve"> existente na área classificada</w:t>
      </w:r>
    </w:p>
    <w:p w14:paraId="6E9CEF7D" w14:textId="77777777" w:rsidR="00C50580" w:rsidRDefault="00C50580"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309C94E" w14:textId="531F30B8"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A máxima energia que pode ser liberada sem comprometer a segurança depende das características da atmosfera explosiva considerada, o que é levado em consideração pelas Normas e pelo processo de certificação de equipamentos Ex “i” e associados.</w:t>
      </w:r>
    </w:p>
    <w:p w14:paraId="597CAFC4"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F6FEAEA"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As falhas que são analisadas no projeto de equipamentos intrinsecamente seguros abrangem problemas ocorridos com a </w:t>
      </w:r>
      <w:r w:rsidRPr="0088664A">
        <w:rPr>
          <w:rFonts w:cstheme="minorHAnsi"/>
          <w:b/>
        </w:rPr>
        <w:t>fiação de campo</w:t>
      </w:r>
      <w:r w:rsidRPr="0088664A">
        <w:rPr>
          <w:rFonts w:cstheme="minorHAnsi"/>
        </w:rPr>
        <w:t xml:space="preserve"> (tais como curto-circuito e abertura do circuito) e também falhas de um ou até dois </w:t>
      </w:r>
      <w:r w:rsidRPr="0088664A">
        <w:rPr>
          <w:rFonts w:cstheme="minorHAnsi"/>
          <w:b/>
        </w:rPr>
        <w:t>componentes</w:t>
      </w:r>
      <w:r w:rsidRPr="0088664A">
        <w:rPr>
          <w:rFonts w:cstheme="minorHAnsi"/>
        </w:rPr>
        <w:t xml:space="preserve"> simultaneamente. </w:t>
      </w:r>
    </w:p>
    <w:p w14:paraId="4AFF5CA3" w14:textId="77777777" w:rsidR="00C50580" w:rsidRDefault="00C50580"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AC74B76" w14:textId="545138DD"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O conceito de segurança intrínseca é mais antigo do que geralmente pode ser imaginado, sendo que as primeiras certificações ocorreram em </w:t>
      </w:r>
      <w:r w:rsidRPr="0088664A">
        <w:rPr>
          <w:rFonts w:cstheme="minorHAnsi"/>
          <w:b/>
        </w:rPr>
        <w:t>1917</w:t>
      </w:r>
      <w:r w:rsidRPr="0088664A">
        <w:rPr>
          <w:rFonts w:cstheme="minorHAnsi"/>
        </w:rPr>
        <w:t xml:space="preserve">, decorrente de uma explosão ocorrida em uma mina subterrânea de carvão. Na Inglaterra, South Wales, </w:t>
      </w:r>
      <w:r w:rsidRPr="0088664A">
        <w:rPr>
          <w:rFonts w:cstheme="minorHAnsi"/>
          <w:bCs/>
        </w:rPr>
        <w:t>Senghenydd</w:t>
      </w:r>
      <w:r w:rsidRPr="0088664A">
        <w:rPr>
          <w:rFonts w:cstheme="minorHAnsi"/>
        </w:rPr>
        <w:t>, em 14/10/</w:t>
      </w:r>
      <w:r w:rsidRPr="0088664A">
        <w:rPr>
          <w:rFonts w:cstheme="minorHAnsi"/>
          <w:b/>
        </w:rPr>
        <w:t>1913</w:t>
      </w:r>
      <w:r w:rsidRPr="0088664A">
        <w:rPr>
          <w:rFonts w:cstheme="minorHAnsi"/>
        </w:rPr>
        <w:t xml:space="preserve">, uma explosão de grisu (gás metano) em uma mina subterrânea de carvão causou a perda da vida de 439 trabalhadores. </w:t>
      </w:r>
    </w:p>
    <w:p w14:paraId="4AA6E35B"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F6CECB3"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 filosofia da proteção do tipo segurança intrínseca enfoca o </w:t>
      </w:r>
      <w:r w:rsidRPr="0088664A">
        <w:rPr>
          <w:rFonts w:cstheme="minorHAnsi"/>
          <w:b/>
        </w:rPr>
        <w:t>circuito como um todo</w:t>
      </w:r>
      <w:r w:rsidRPr="0088664A">
        <w:rPr>
          <w:rFonts w:cstheme="minorHAnsi"/>
        </w:rPr>
        <w:t xml:space="preserve"> e não somente o instrumento de campo, como é o caso dos outros tipos de proteção, como por exemplo, os invólucros à prova de explosão, a segurança aumentada e o encapsulamento em resina. </w:t>
      </w:r>
    </w:p>
    <w:p w14:paraId="10C19CA5"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EA3251A"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 barreira de segurança intrínseca [Ex “i”], inserida no circuito intrinsecamente seguro como </w:t>
      </w:r>
      <w:r w:rsidR="00F640CE">
        <w:rPr>
          <w:rFonts w:cstheme="minorHAnsi"/>
          <w:b/>
        </w:rPr>
        <w:t>equipamento</w:t>
      </w:r>
      <w:r w:rsidRPr="0088664A">
        <w:rPr>
          <w:rFonts w:cstheme="minorHAnsi"/>
          <w:b/>
        </w:rPr>
        <w:t xml:space="preserve"> associado</w:t>
      </w:r>
      <w:r w:rsidR="001C584B" w:rsidRPr="0088664A">
        <w:rPr>
          <w:rFonts w:cstheme="minorHAnsi"/>
        </w:rPr>
        <w:t xml:space="preserve"> [</w:t>
      </w:r>
      <w:r w:rsidR="001C584B" w:rsidRPr="0088664A">
        <w:rPr>
          <w:rFonts w:cstheme="minorHAnsi"/>
          <w:b/>
        </w:rPr>
        <w:t>Ex “i”</w:t>
      </w:r>
      <w:r w:rsidR="001C584B" w:rsidRPr="0088664A">
        <w:rPr>
          <w:rFonts w:cstheme="minorHAnsi"/>
        </w:rPr>
        <w:t>]</w:t>
      </w:r>
      <w:r w:rsidRPr="0088664A">
        <w:rPr>
          <w:rFonts w:cstheme="minorHAnsi"/>
        </w:rPr>
        <w:t xml:space="preserve">, tem por função básica a limitação da energia que pode ser armazenada na parte do circuito de campo, instalado na área classificada, constituído pelo </w:t>
      </w:r>
      <w:r w:rsidRPr="0088664A">
        <w:rPr>
          <w:rFonts w:cstheme="minorHAnsi"/>
          <w:b/>
        </w:rPr>
        <w:t>instrumento de campo Ex “i”</w:t>
      </w:r>
      <w:r w:rsidRPr="0088664A">
        <w:rPr>
          <w:rFonts w:cstheme="minorHAnsi"/>
        </w:rPr>
        <w:t xml:space="preserve"> e pela fiação de interligação entre estes dois equipamentos.</w:t>
      </w:r>
    </w:p>
    <w:p w14:paraId="03D35B5F"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E6507FA" w14:textId="77777777" w:rsidR="0088664A" w:rsidRPr="0088664A" w:rsidRDefault="00B65FFF" w:rsidP="0088664A">
      <w:pPr>
        <w:pStyle w:val="Corpodetexto3"/>
        <w:spacing w:after="0"/>
        <w:jc w:val="center"/>
      </w:pPr>
      <w:r w:rsidRPr="0088664A">
        <w:object w:dxaOrig="4606" w:dyaOrig="1227" w14:anchorId="4F48A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75pt;height:127.7pt" o:ole="">
            <v:imagedata r:id="rId9" o:title=""/>
          </v:shape>
          <o:OLEObject Type="Embed" ProgID="Visio.Drawing.11" ShapeID="_x0000_i1025" DrawAspect="Content" ObjectID="_1613811858" r:id="rId10"/>
        </w:object>
      </w:r>
    </w:p>
    <w:p w14:paraId="64EFF210" w14:textId="77777777" w:rsidR="0088664A" w:rsidRPr="0088664A" w:rsidRDefault="0088664A" w:rsidP="0088664A">
      <w:pPr>
        <w:pStyle w:val="Corpodetexto3"/>
        <w:spacing w:after="0"/>
        <w:jc w:val="center"/>
      </w:pPr>
    </w:p>
    <w:p w14:paraId="64262D65" w14:textId="77777777" w:rsidR="0088664A" w:rsidRPr="005B7103" w:rsidRDefault="0088664A" w:rsidP="0088664A">
      <w:pPr>
        <w:pStyle w:val="Corpodetexto3"/>
        <w:spacing w:after="0"/>
        <w:jc w:val="center"/>
        <w:rPr>
          <w:i/>
          <w:sz w:val="18"/>
          <w:szCs w:val="20"/>
        </w:rPr>
      </w:pPr>
      <w:r w:rsidRPr="005B7103">
        <w:rPr>
          <w:i/>
          <w:sz w:val="18"/>
          <w:szCs w:val="20"/>
        </w:rPr>
        <w:t xml:space="preserve">Exemplo de </w:t>
      </w:r>
      <w:r w:rsidRPr="005B7103">
        <w:rPr>
          <w:b/>
          <w:i/>
          <w:sz w:val="18"/>
          <w:szCs w:val="20"/>
        </w:rPr>
        <w:t>equipamento associado [Ex “i”]</w:t>
      </w:r>
      <w:r w:rsidRPr="005B7103">
        <w:rPr>
          <w:i/>
          <w:sz w:val="18"/>
          <w:szCs w:val="20"/>
        </w:rPr>
        <w:t xml:space="preserve"> com isolação elétrica: Isoladores galvânicos</w:t>
      </w:r>
    </w:p>
    <w:p w14:paraId="3E3A6FCC" w14:textId="77777777" w:rsidR="00540E3A" w:rsidRPr="0088664A"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2DFB14F" w14:textId="57E47B55" w:rsidR="00540E3A" w:rsidRPr="0088664A"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 Figura a seguir, apresenta um diagrama </w:t>
      </w:r>
      <w:r w:rsidR="001A050B">
        <w:rPr>
          <w:rFonts w:cstheme="minorHAnsi"/>
        </w:rPr>
        <w:t>“</w:t>
      </w:r>
      <w:r w:rsidRPr="0088664A">
        <w:rPr>
          <w:rFonts w:cstheme="minorHAnsi"/>
        </w:rPr>
        <w:t>típico</w:t>
      </w:r>
      <w:r w:rsidR="001A050B">
        <w:rPr>
          <w:rFonts w:cstheme="minorHAnsi"/>
        </w:rPr>
        <w:t>”</w:t>
      </w:r>
      <w:r w:rsidRPr="0088664A">
        <w:rPr>
          <w:rFonts w:cstheme="minorHAnsi"/>
        </w:rPr>
        <w:t xml:space="preserve"> de instalação de um circuito intrinsecamente seguro, composto por instrumento de campo intrinsecamente seguro, barreira de segurança (</w:t>
      </w:r>
      <w:r>
        <w:rPr>
          <w:rFonts w:cstheme="minorHAnsi"/>
        </w:rPr>
        <w:t>equipamento</w:t>
      </w:r>
      <w:r w:rsidRPr="0088664A">
        <w:rPr>
          <w:rFonts w:cstheme="minorHAnsi"/>
        </w:rPr>
        <w:t xml:space="preserve"> associado ao instrumento Ex “i”) e o sistema digital de controle, tais como SDCD (Sistema Digital de Controle Distribuído) ou PLC (</w:t>
      </w:r>
      <w:r w:rsidRPr="0088664A">
        <w:rPr>
          <w:rFonts w:cstheme="minorHAnsi"/>
          <w:i/>
        </w:rPr>
        <w:t>Programmable Logic Controller</w:t>
      </w:r>
      <w:r w:rsidRPr="0088664A">
        <w:rPr>
          <w:rFonts w:cstheme="minorHAnsi"/>
        </w:rPr>
        <w:t>).</w:t>
      </w:r>
    </w:p>
    <w:p w14:paraId="3AA2197D" w14:textId="77777777" w:rsidR="00540E3A" w:rsidRPr="0088664A"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7B89890" w14:textId="77777777" w:rsidR="00540E3A"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88664A">
        <w:rPr>
          <w:noProof/>
        </w:rPr>
        <w:drawing>
          <wp:inline distT="0" distB="0" distL="0" distR="0" wp14:anchorId="52E03584" wp14:editId="7E71EEA1">
            <wp:extent cx="6195387" cy="2438400"/>
            <wp:effectExtent l="0" t="0" r="0" b="0"/>
            <wp:docPr id="484374" name="Picture 484374" descr="C:\Users\Bulgarelli\AppData\Local\Microsoft\Windows\INetCacheContent.Word\Circuito intrinsecamente seg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ulgarelli\AppData\Local\Microsoft\Windows\INetCacheContent.Word\Circuito intrinsecamente seguro.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254778" cy="2461775"/>
                    </a:xfrm>
                    <a:prstGeom prst="rect">
                      <a:avLst/>
                    </a:prstGeom>
                    <a:noFill/>
                    <a:ln>
                      <a:noFill/>
                    </a:ln>
                    <a:extLst>
                      <a:ext uri="{53640926-AAD7-44D8-BBD7-CCE9431645EC}">
                        <a14:shadowObscured xmlns:a14="http://schemas.microsoft.com/office/drawing/2010/main"/>
                      </a:ext>
                    </a:extLst>
                  </pic:spPr>
                </pic:pic>
              </a:graphicData>
            </a:graphic>
          </wp:inline>
        </w:drawing>
      </w:r>
    </w:p>
    <w:p w14:paraId="7FC1C970" w14:textId="77777777" w:rsidR="00540E3A" w:rsidRPr="0088664A"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p w14:paraId="4859DB14" w14:textId="77777777" w:rsidR="00540E3A" w:rsidRPr="005B7103"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5B7103">
        <w:rPr>
          <w:rFonts w:cstheme="minorHAnsi"/>
          <w:i/>
          <w:sz w:val="18"/>
        </w:rPr>
        <w:t>Exemplo de sistema intrinsecamente seguro contendo instrumento de campo (instalado em área classificada), barreira de segurança intrínseca e Sistema Digital de Controle</w:t>
      </w:r>
    </w:p>
    <w:p w14:paraId="3A365ED0" w14:textId="77777777" w:rsidR="00540E3A" w:rsidRPr="0088664A"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D99D7FC" w14:textId="43BB2840" w:rsidR="00540E3A" w:rsidRPr="0088664A"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 Figura a seguir, apresenta um </w:t>
      </w:r>
      <w:r>
        <w:rPr>
          <w:rFonts w:cstheme="minorHAnsi"/>
        </w:rPr>
        <w:t>c</w:t>
      </w:r>
      <w:r w:rsidRPr="0088664A">
        <w:rPr>
          <w:rFonts w:cstheme="minorHAnsi"/>
        </w:rPr>
        <w:t xml:space="preserve">ircuito </w:t>
      </w:r>
      <w:r w:rsidR="001A050B">
        <w:rPr>
          <w:rFonts w:cstheme="minorHAnsi"/>
        </w:rPr>
        <w:t>“</w:t>
      </w:r>
      <w:r>
        <w:rPr>
          <w:rFonts w:cstheme="minorHAnsi"/>
        </w:rPr>
        <w:t>típico</w:t>
      </w:r>
      <w:r w:rsidR="001A050B">
        <w:rPr>
          <w:rFonts w:cstheme="minorHAnsi"/>
        </w:rPr>
        <w:t>”</w:t>
      </w:r>
      <w:r>
        <w:rPr>
          <w:rFonts w:cstheme="minorHAnsi"/>
        </w:rPr>
        <w:t xml:space="preserve"> de segurança intrínseca</w:t>
      </w:r>
      <w:r w:rsidRPr="0088664A">
        <w:rPr>
          <w:rFonts w:cstheme="minorHAnsi"/>
        </w:rPr>
        <w:t>, composto por instrumento de campo intrinsecamente seguro</w:t>
      </w:r>
      <w:r>
        <w:rPr>
          <w:rFonts w:cstheme="minorHAnsi"/>
        </w:rPr>
        <w:t xml:space="preserve"> </w:t>
      </w:r>
      <w:r w:rsidRPr="00540E3A">
        <w:rPr>
          <w:rFonts w:cstheme="minorHAnsi"/>
          <w:b/>
        </w:rPr>
        <w:t>(Ex “i”)</w:t>
      </w:r>
      <w:r w:rsidRPr="0088664A">
        <w:rPr>
          <w:rFonts w:cstheme="minorHAnsi"/>
        </w:rPr>
        <w:t xml:space="preserve">, </w:t>
      </w:r>
      <w:r w:rsidR="001A050B">
        <w:rPr>
          <w:rFonts w:cstheme="minorHAnsi"/>
        </w:rPr>
        <w:t xml:space="preserve">da </w:t>
      </w:r>
      <w:r w:rsidRPr="0088664A">
        <w:rPr>
          <w:rFonts w:cstheme="minorHAnsi"/>
        </w:rPr>
        <w:t xml:space="preserve">barreira de segurança </w:t>
      </w:r>
      <w:r w:rsidR="001A050B">
        <w:rPr>
          <w:rFonts w:cstheme="minorHAnsi"/>
        </w:rPr>
        <w:t xml:space="preserve">intrínseca </w:t>
      </w:r>
      <w:r w:rsidRPr="0088664A">
        <w:rPr>
          <w:rFonts w:cstheme="minorHAnsi"/>
        </w:rPr>
        <w:t>(</w:t>
      </w:r>
      <w:r>
        <w:rPr>
          <w:rFonts w:cstheme="minorHAnsi"/>
        </w:rPr>
        <w:t>equipamento</w:t>
      </w:r>
      <w:r w:rsidRPr="0088664A">
        <w:rPr>
          <w:rFonts w:cstheme="minorHAnsi"/>
        </w:rPr>
        <w:t xml:space="preserve"> associado</w:t>
      </w:r>
      <w:r w:rsidR="001A050B">
        <w:rPr>
          <w:rFonts w:cstheme="minorHAnsi"/>
        </w:rPr>
        <w:t>)</w:t>
      </w:r>
      <w:r w:rsidRPr="0088664A">
        <w:rPr>
          <w:rFonts w:cstheme="minorHAnsi"/>
        </w:rPr>
        <w:t xml:space="preserve"> </w:t>
      </w:r>
      <w:r>
        <w:rPr>
          <w:rFonts w:cstheme="minorHAnsi"/>
          <w:b/>
        </w:rPr>
        <w:t>[</w:t>
      </w:r>
      <w:r w:rsidRPr="00540E3A">
        <w:rPr>
          <w:rFonts w:cstheme="minorHAnsi"/>
          <w:b/>
        </w:rPr>
        <w:t>Ex “i”]</w:t>
      </w:r>
      <w:r w:rsidRPr="0088664A">
        <w:rPr>
          <w:rFonts w:cstheme="minorHAnsi"/>
        </w:rPr>
        <w:t xml:space="preserve"> e </w:t>
      </w:r>
      <w:r w:rsidR="001A050B">
        <w:rPr>
          <w:rFonts w:cstheme="minorHAnsi"/>
        </w:rPr>
        <w:t>d</w:t>
      </w:r>
      <w:r>
        <w:rPr>
          <w:rFonts w:cstheme="minorHAnsi"/>
        </w:rPr>
        <w:t>o sinal de alimentação da barreira, geralmente oriundo do sistema de controle de processo</w:t>
      </w:r>
      <w:r w:rsidRPr="0088664A">
        <w:rPr>
          <w:rFonts w:cstheme="minorHAnsi"/>
        </w:rPr>
        <w:t>.</w:t>
      </w:r>
    </w:p>
    <w:p w14:paraId="41FFC1AD" w14:textId="6A5125F8" w:rsidR="00540E3A"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62A79CE" w14:textId="462B3504" w:rsidR="00540E3A" w:rsidRPr="0088664A" w:rsidRDefault="00540E3A" w:rsidP="0004305F">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drawing>
          <wp:inline distT="0" distB="0" distL="0" distR="0" wp14:anchorId="4BB99973" wp14:editId="08614537">
            <wp:extent cx="5942330" cy="1903095"/>
            <wp:effectExtent l="0" t="0" r="1270"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2330" cy="1903095"/>
                    </a:xfrm>
                    <a:prstGeom prst="rect">
                      <a:avLst/>
                    </a:prstGeom>
                    <a:noFill/>
                    <a:ln>
                      <a:noFill/>
                    </a:ln>
                  </pic:spPr>
                </pic:pic>
              </a:graphicData>
            </a:graphic>
          </wp:inline>
        </w:drawing>
      </w:r>
    </w:p>
    <w:p w14:paraId="5DB893EA" w14:textId="77777777" w:rsidR="00540E3A" w:rsidRPr="0088664A"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p w14:paraId="0D0F7092" w14:textId="11428FEC" w:rsidR="00540E3A" w:rsidRPr="005B7103"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5B7103">
        <w:rPr>
          <w:rFonts w:cstheme="minorHAnsi"/>
          <w:i/>
          <w:sz w:val="18"/>
        </w:rPr>
        <w:t xml:space="preserve">Exemplo de </w:t>
      </w:r>
      <w:r w:rsidR="001A050B" w:rsidRPr="001A050B">
        <w:rPr>
          <w:rFonts w:cstheme="minorHAnsi"/>
          <w:i/>
          <w:sz w:val="18"/>
        </w:rPr>
        <w:t xml:space="preserve">circuito “típico” de segurança intrínseca, composto por instrumento de campo </w:t>
      </w:r>
      <w:r w:rsidR="001A050B" w:rsidRPr="001A050B">
        <w:rPr>
          <w:rFonts w:cstheme="minorHAnsi"/>
          <w:b/>
          <w:i/>
          <w:sz w:val="18"/>
        </w:rPr>
        <w:t>(Ex “i”)</w:t>
      </w:r>
      <w:r w:rsidR="001A050B" w:rsidRPr="001A050B">
        <w:rPr>
          <w:rFonts w:cstheme="minorHAnsi"/>
          <w:i/>
          <w:sz w:val="18"/>
        </w:rPr>
        <w:t xml:space="preserve">, </w:t>
      </w:r>
      <w:r w:rsidR="001A050B">
        <w:rPr>
          <w:rFonts w:cstheme="minorHAnsi"/>
          <w:i/>
          <w:sz w:val="18"/>
        </w:rPr>
        <w:t xml:space="preserve">da </w:t>
      </w:r>
      <w:r w:rsidR="001A050B" w:rsidRPr="001A050B">
        <w:rPr>
          <w:rFonts w:cstheme="minorHAnsi"/>
          <w:i/>
          <w:sz w:val="18"/>
        </w:rPr>
        <w:t xml:space="preserve">barreira de segurança </w:t>
      </w:r>
      <w:r w:rsidR="001A050B">
        <w:rPr>
          <w:rFonts w:cstheme="minorHAnsi"/>
          <w:i/>
          <w:sz w:val="18"/>
        </w:rPr>
        <w:t xml:space="preserve">intrínseca </w:t>
      </w:r>
      <w:r w:rsidR="001A050B" w:rsidRPr="001A050B">
        <w:rPr>
          <w:rFonts w:cstheme="minorHAnsi"/>
          <w:b/>
          <w:i/>
          <w:sz w:val="18"/>
        </w:rPr>
        <w:t>[Ex “i”]</w:t>
      </w:r>
      <w:r w:rsidR="001A050B" w:rsidRPr="001A050B">
        <w:rPr>
          <w:rFonts w:cstheme="minorHAnsi"/>
          <w:i/>
          <w:sz w:val="18"/>
        </w:rPr>
        <w:t xml:space="preserve"> e </w:t>
      </w:r>
      <w:r w:rsidR="001A050B">
        <w:rPr>
          <w:rFonts w:cstheme="minorHAnsi"/>
          <w:i/>
          <w:sz w:val="18"/>
        </w:rPr>
        <w:t>d</w:t>
      </w:r>
      <w:r w:rsidR="001A050B" w:rsidRPr="001A050B">
        <w:rPr>
          <w:rFonts w:cstheme="minorHAnsi"/>
          <w:i/>
          <w:sz w:val="18"/>
        </w:rPr>
        <w:t>o sinal de alimentação da barreira, geralmente oriundo do sistema de controle de processo</w:t>
      </w:r>
    </w:p>
    <w:p w14:paraId="245E4E7B" w14:textId="77777777" w:rsidR="00540E3A" w:rsidRPr="0088664A" w:rsidRDefault="00540E3A" w:rsidP="00540E3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366A037"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31D2CE1" w14:textId="613120A6" w:rsidR="0049465E" w:rsidRPr="006A7498" w:rsidRDefault="0049465E" w:rsidP="0088664A">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 xml:space="preserve">Conceitos de entidade e critérios de interconexão entre barreiras </w:t>
      </w:r>
      <w:r w:rsidR="00F640CE" w:rsidRPr="006A7498">
        <w:rPr>
          <w:rFonts w:cstheme="minorHAnsi"/>
          <w:b/>
          <w:bCs/>
          <w:sz w:val="24"/>
        </w:rPr>
        <w:t xml:space="preserve">[Ex “i”] </w:t>
      </w:r>
      <w:r w:rsidRPr="006A7498">
        <w:rPr>
          <w:rFonts w:cstheme="minorHAnsi"/>
          <w:b/>
          <w:bCs/>
          <w:sz w:val="24"/>
        </w:rPr>
        <w:t>e instrumentos Ex</w:t>
      </w:r>
      <w:r w:rsidR="006A7498">
        <w:rPr>
          <w:rFonts w:cstheme="minorHAnsi"/>
          <w:b/>
          <w:bCs/>
          <w:sz w:val="24"/>
        </w:rPr>
        <w:t> </w:t>
      </w:r>
      <w:r w:rsidRPr="006A7498">
        <w:rPr>
          <w:rFonts w:cstheme="minorHAnsi"/>
          <w:b/>
          <w:bCs/>
          <w:sz w:val="24"/>
        </w:rPr>
        <w:t>“i”</w:t>
      </w:r>
    </w:p>
    <w:p w14:paraId="714F97D7" w14:textId="77777777" w:rsidR="00142E72" w:rsidRPr="0088664A" w:rsidRDefault="00142E72"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58106B9" w14:textId="77777777" w:rsidR="0049465E"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O conceito de entidade tem como base a certificação </w:t>
      </w:r>
      <w:r w:rsidRPr="0088664A">
        <w:rPr>
          <w:rFonts w:cstheme="minorHAnsi"/>
          <w:b/>
        </w:rPr>
        <w:t>individual</w:t>
      </w:r>
      <w:r w:rsidRPr="0088664A">
        <w:rPr>
          <w:rFonts w:cstheme="minorHAnsi"/>
        </w:rPr>
        <w:t xml:space="preserve"> dos equipamentos intrinsecamente seguros e dos equipamentos associados (barreiras), permitindo a conexão de equipamentos intrinsecamente seguros com seus respectivos equipamentos associados, tendo como base a verificação dos parâmetros de entidade que são determinados no processo de certificação Ex “i” de cada um destes componentes do circuito.</w:t>
      </w:r>
    </w:p>
    <w:p w14:paraId="11EBA52D" w14:textId="77777777" w:rsidR="009D6147" w:rsidRPr="0088664A" w:rsidRDefault="009D614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82C6B25"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O conceito de entidade permite a interligação de </w:t>
      </w:r>
      <w:r w:rsidRPr="0088664A">
        <w:rPr>
          <w:rFonts w:cstheme="minorHAnsi"/>
          <w:b/>
        </w:rPr>
        <w:t>instrumentos</w:t>
      </w:r>
      <w:r w:rsidRPr="0088664A">
        <w:rPr>
          <w:rFonts w:cstheme="minorHAnsi"/>
        </w:rPr>
        <w:t xml:space="preserve"> de campo </w:t>
      </w:r>
      <w:r w:rsidRPr="0088664A">
        <w:rPr>
          <w:rFonts w:cstheme="minorHAnsi"/>
          <w:b/>
        </w:rPr>
        <w:t>Ex “i”</w:t>
      </w:r>
      <w:r w:rsidRPr="0088664A">
        <w:rPr>
          <w:rFonts w:cstheme="minorHAnsi"/>
        </w:rPr>
        <w:t xml:space="preserve"> com </w:t>
      </w:r>
      <w:r w:rsidRPr="0088664A">
        <w:rPr>
          <w:rFonts w:cstheme="minorHAnsi"/>
          <w:b/>
        </w:rPr>
        <w:t>barreiras</w:t>
      </w:r>
      <w:r w:rsidRPr="0088664A">
        <w:rPr>
          <w:rFonts w:cstheme="minorHAnsi"/>
        </w:rPr>
        <w:t xml:space="preserve"> (componentes associados </w:t>
      </w:r>
      <w:r w:rsidRPr="0088664A">
        <w:rPr>
          <w:rFonts w:cstheme="minorHAnsi"/>
          <w:b/>
        </w:rPr>
        <w:t>[Ex “i”]</w:t>
      </w:r>
      <w:r w:rsidRPr="0088664A">
        <w:rPr>
          <w:rFonts w:cstheme="minorHAnsi"/>
        </w:rPr>
        <w:t>) sem que os mesmos tenham sido certificados em conjunto.</w:t>
      </w:r>
    </w:p>
    <w:p w14:paraId="7B171BF7" w14:textId="77777777" w:rsidR="005C472A" w:rsidRPr="0088664A" w:rsidRDefault="005C472A" w:rsidP="005C472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098D568" w14:textId="77777777" w:rsidR="00A83F01" w:rsidRPr="0088664A" w:rsidRDefault="00A83F01" w:rsidP="005C472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A83F01">
        <w:rPr>
          <w:rFonts w:cstheme="minorHAnsi"/>
          <w:noProof/>
        </w:rPr>
        <w:drawing>
          <wp:inline distT="0" distB="0" distL="0" distR="0" wp14:anchorId="368D2F1E" wp14:editId="02EA0C9A">
            <wp:extent cx="5320441" cy="2840181"/>
            <wp:effectExtent l="0" t="0" r="0" b="0"/>
            <wp:docPr id="484353" name="Imagem 23581" descr="Exi-23.jpg"/>
            <wp:cNvGraphicFramePr/>
            <a:graphic xmlns:a="http://schemas.openxmlformats.org/drawingml/2006/main">
              <a:graphicData uri="http://schemas.openxmlformats.org/drawingml/2006/picture">
                <pic:pic xmlns:pic="http://schemas.openxmlformats.org/drawingml/2006/picture">
                  <pic:nvPicPr>
                    <pic:cNvPr id="6" name="Imagem 23581" descr="Exi-23.jpg"/>
                    <pic:cNvPicPr/>
                  </pic:nvPicPr>
                  <pic:blipFill rotWithShape="1">
                    <a:blip r:embed="rId13" cstate="screen">
                      <a:extLst>
                        <a:ext uri="{28A0092B-C50C-407E-A947-70E740481C1C}">
                          <a14:useLocalDpi xmlns:a14="http://schemas.microsoft.com/office/drawing/2010/main"/>
                        </a:ext>
                      </a:extLst>
                    </a:blip>
                    <a:srcRect/>
                    <a:stretch/>
                  </pic:blipFill>
                  <pic:spPr>
                    <a:xfrm>
                      <a:off x="0" y="0"/>
                      <a:ext cx="5419079" cy="2892837"/>
                    </a:xfrm>
                    <a:prstGeom prst="rect">
                      <a:avLst/>
                    </a:prstGeom>
                  </pic:spPr>
                </pic:pic>
              </a:graphicData>
            </a:graphic>
          </wp:inline>
        </w:drawing>
      </w:r>
    </w:p>
    <w:p w14:paraId="423FC83A" w14:textId="77777777" w:rsidR="005C472A" w:rsidRPr="0088664A" w:rsidRDefault="005C472A" w:rsidP="005C472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3F143EC" w14:textId="77777777" w:rsidR="005C472A" w:rsidRPr="005B7103" w:rsidRDefault="005C472A" w:rsidP="005C472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5B7103">
        <w:rPr>
          <w:rFonts w:cstheme="minorHAnsi"/>
          <w:i/>
          <w:sz w:val="18"/>
        </w:rPr>
        <w:t xml:space="preserve">Exemplo de circuito de interconexão entre transmissor intrinsecamente seguro </w:t>
      </w:r>
      <w:r w:rsidRPr="005B7103">
        <w:rPr>
          <w:rFonts w:cstheme="minorHAnsi"/>
          <w:b/>
          <w:i/>
          <w:sz w:val="18"/>
        </w:rPr>
        <w:t>Ex “ia”</w:t>
      </w:r>
      <w:r w:rsidRPr="005B7103">
        <w:rPr>
          <w:rFonts w:cstheme="minorHAnsi"/>
          <w:i/>
          <w:sz w:val="18"/>
        </w:rPr>
        <w:t xml:space="preserve"> e barreira de segurança intrínseca </w:t>
      </w:r>
      <w:r w:rsidRPr="005B7103">
        <w:rPr>
          <w:rFonts w:cstheme="minorHAnsi"/>
          <w:b/>
          <w:i/>
          <w:sz w:val="18"/>
        </w:rPr>
        <w:t>[Ex “ib”]</w:t>
      </w:r>
    </w:p>
    <w:p w14:paraId="79C768F5"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2126FFE"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Os critérios para a verificação do conceito de entidade são os seguintes:</w:t>
      </w:r>
    </w:p>
    <w:p w14:paraId="485F602E"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DF996C3" w14:textId="1B6743C1" w:rsidR="0049465E" w:rsidRPr="00B97C14" w:rsidRDefault="005C472A" w:rsidP="00B97C14">
      <w:pPr>
        <w:pStyle w:val="PargrafodaLista"/>
        <w:numPr>
          <w:ilvl w:val="0"/>
          <w:numId w:val="2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rPr>
          <w:rFonts w:cstheme="minorHAnsi"/>
        </w:rPr>
      </w:pPr>
      <w:r w:rsidRPr="00B97C14">
        <w:rPr>
          <w:rFonts w:cstheme="minorHAnsi"/>
        </w:rPr>
        <w:t>O valor da</w:t>
      </w:r>
      <w:r w:rsidR="0049465E" w:rsidRPr="00B97C14">
        <w:rPr>
          <w:rFonts w:cstheme="minorHAnsi"/>
        </w:rPr>
        <w:t xml:space="preserve"> tensão (corrente e potência) que o equipamento intrinsecamente seguro pode </w:t>
      </w:r>
      <w:r w:rsidR="0049465E" w:rsidRPr="00B97C14">
        <w:rPr>
          <w:rFonts w:cstheme="minorHAnsi"/>
          <w:b/>
        </w:rPr>
        <w:t>receber</w:t>
      </w:r>
      <w:r w:rsidR="0049465E" w:rsidRPr="00B97C14">
        <w:rPr>
          <w:rFonts w:cstheme="minorHAnsi"/>
        </w:rPr>
        <w:t xml:space="preserve"> </w:t>
      </w:r>
      <w:r w:rsidRPr="00B97C14">
        <w:rPr>
          <w:rFonts w:cstheme="minorHAnsi"/>
        </w:rPr>
        <w:t>(</w:t>
      </w:r>
      <w:r w:rsidRPr="00B97C14">
        <w:rPr>
          <w:rFonts w:cstheme="minorHAnsi"/>
          <w:b/>
        </w:rPr>
        <w:t>Vi, Ii, Pi</w:t>
      </w:r>
      <w:r w:rsidRPr="00B97C14">
        <w:rPr>
          <w:rFonts w:cstheme="minorHAnsi"/>
        </w:rPr>
        <w:t xml:space="preserve">) </w:t>
      </w:r>
      <w:r w:rsidR="0049465E" w:rsidRPr="00B97C14">
        <w:rPr>
          <w:rFonts w:cstheme="minorHAnsi"/>
        </w:rPr>
        <w:t xml:space="preserve">e manter-se ainda intrinsecamente seguro, deve ser </w:t>
      </w:r>
      <w:r w:rsidR="0049465E" w:rsidRPr="00B97C14">
        <w:rPr>
          <w:rFonts w:cstheme="minorHAnsi"/>
          <w:b/>
        </w:rPr>
        <w:t>maior ou igual</w:t>
      </w:r>
      <w:r w:rsidR="0049465E" w:rsidRPr="00B97C14">
        <w:rPr>
          <w:rFonts w:cstheme="minorHAnsi"/>
        </w:rPr>
        <w:t xml:space="preserve"> a</w:t>
      </w:r>
      <w:r w:rsidRPr="00B97C14">
        <w:rPr>
          <w:rFonts w:cstheme="minorHAnsi"/>
        </w:rPr>
        <w:t>o valor da</w:t>
      </w:r>
      <w:r w:rsidR="0049465E" w:rsidRPr="00B97C14">
        <w:rPr>
          <w:rFonts w:cstheme="minorHAnsi"/>
        </w:rPr>
        <w:t xml:space="preserve"> tensão (corrente e potência) máxima fornecida pelo equipamento de associado</w:t>
      </w:r>
      <w:r w:rsidRPr="00B97C14">
        <w:rPr>
          <w:rFonts w:cstheme="minorHAnsi"/>
        </w:rPr>
        <w:t xml:space="preserve"> (</w:t>
      </w:r>
      <w:r w:rsidRPr="00B97C14">
        <w:rPr>
          <w:rFonts w:cstheme="minorHAnsi"/>
          <w:b/>
        </w:rPr>
        <w:t>Vo, Io, Po</w:t>
      </w:r>
      <w:r w:rsidRPr="00B97C14">
        <w:rPr>
          <w:rFonts w:cstheme="minorHAnsi"/>
        </w:rPr>
        <w:t>)</w:t>
      </w:r>
      <w:r w:rsidR="0049465E" w:rsidRPr="00B97C14">
        <w:rPr>
          <w:rFonts w:cstheme="minorHAnsi"/>
        </w:rPr>
        <w:t>.</w:t>
      </w:r>
    </w:p>
    <w:p w14:paraId="3B196658" w14:textId="77777777" w:rsidR="0049465E" w:rsidRPr="0088664A" w:rsidRDefault="0049465E" w:rsidP="00B97C1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8781DF3" w14:textId="6926B9D2" w:rsidR="0049465E" w:rsidRPr="00B97C14" w:rsidRDefault="0049465E" w:rsidP="00B97C14">
      <w:pPr>
        <w:pStyle w:val="PargrafodaLista"/>
        <w:numPr>
          <w:ilvl w:val="0"/>
          <w:numId w:val="2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rPr>
          <w:rFonts w:cstheme="minorHAnsi"/>
        </w:rPr>
      </w:pPr>
      <w:r w:rsidRPr="00B97C14">
        <w:rPr>
          <w:rFonts w:cstheme="minorHAnsi"/>
        </w:rPr>
        <w:t xml:space="preserve">Adicionalmente, </w:t>
      </w:r>
      <w:r w:rsidR="005C472A" w:rsidRPr="00B97C14">
        <w:rPr>
          <w:rFonts w:cstheme="minorHAnsi"/>
        </w:rPr>
        <w:t>o valor d</w:t>
      </w:r>
      <w:r w:rsidRPr="00B97C14">
        <w:rPr>
          <w:rFonts w:cstheme="minorHAnsi"/>
        </w:rPr>
        <w:t>a máxima capacitância (ou indutância) do equipamento intrinsecamente seguro</w:t>
      </w:r>
      <w:r w:rsidR="005C472A" w:rsidRPr="00B97C14">
        <w:rPr>
          <w:rFonts w:cstheme="minorHAnsi"/>
        </w:rPr>
        <w:t xml:space="preserve"> (</w:t>
      </w:r>
      <w:r w:rsidR="005C472A" w:rsidRPr="00B97C14">
        <w:rPr>
          <w:rFonts w:cstheme="minorHAnsi"/>
          <w:b/>
        </w:rPr>
        <w:t>Ci, Li</w:t>
      </w:r>
      <w:r w:rsidR="005C472A" w:rsidRPr="00B97C14">
        <w:rPr>
          <w:rFonts w:cstheme="minorHAnsi"/>
        </w:rPr>
        <w:t>)</w:t>
      </w:r>
      <w:r w:rsidRPr="00B97C14">
        <w:rPr>
          <w:rFonts w:cstheme="minorHAnsi"/>
        </w:rPr>
        <w:t>, incluindo-se os parâmetros dos cabos de interligação</w:t>
      </w:r>
      <w:r w:rsidR="005C472A" w:rsidRPr="00B97C14">
        <w:rPr>
          <w:rFonts w:cstheme="minorHAnsi"/>
        </w:rPr>
        <w:t xml:space="preserve"> (</w:t>
      </w:r>
      <w:r w:rsidR="005C472A" w:rsidRPr="00B97C14">
        <w:rPr>
          <w:rFonts w:cstheme="minorHAnsi"/>
          <w:b/>
        </w:rPr>
        <w:t>Cc, Lc</w:t>
      </w:r>
      <w:r w:rsidR="005C472A" w:rsidRPr="00B97C14">
        <w:rPr>
          <w:rFonts w:cstheme="minorHAnsi"/>
        </w:rPr>
        <w:t>)</w:t>
      </w:r>
      <w:r w:rsidRPr="00B97C14">
        <w:rPr>
          <w:rFonts w:cstheme="minorHAnsi"/>
        </w:rPr>
        <w:t xml:space="preserve">, deve ser </w:t>
      </w:r>
      <w:r w:rsidRPr="00B97C14">
        <w:rPr>
          <w:rFonts w:cstheme="minorHAnsi"/>
          <w:b/>
        </w:rPr>
        <w:t>menor ou igual</w:t>
      </w:r>
      <w:r w:rsidRPr="00B97C14">
        <w:rPr>
          <w:rFonts w:cstheme="minorHAnsi"/>
        </w:rPr>
        <w:t xml:space="preserve"> a</w:t>
      </w:r>
      <w:r w:rsidR="005C472A" w:rsidRPr="00B97C14">
        <w:rPr>
          <w:rFonts w:cstheme="minorHAnsi"/>
        </w:rPr>
        <w:t>o valor da</w:t>
      </w:r>
      <w:r w:rsidRPr="00B97C14">
        <w:rPr>
          <w:rFonts w:cstheme="minorHAnsi"/>
        </w:rPr>
        <w:t xml:space="preserve"> máxima capacitância (ou indutância) que pode ser conectada com segurança ao equipamento associado</w:t>
      </w:r>
      <w:r w:rsidR="005C472A" w:rsidRPr="00B97C14">
        <w:rPr>
          <w:rFonts w:cstheme="minorHAnsi"/>
        </w:rPr>
        <w:t xml:space="preserve"> (</w:t>
      </w:r>
      <w:r w:rsidR="005C472A" w:rsidRPr="00B97C14">
        <w:rPr>
          <w:rFonts w:cstheme="minorHAnsi"/>
          <w:b/>
        </w:rPr>
        <w:t>Co. Lo</w:t>
      </w:r>
      <w:r w:rsidR="005C472A" w:rsidRPr="00B97C14">
        <w:rPr>
          <w:rFonts w:cstheme="minorHAnsi"/>
        </w:rPr>
        <w:t>)</w:t>
      </w:r>
      <w:r w:rsidRPr="00B97C14">
        <w:rPr>
          <w:rFonts w:cstheme="minorHAnsi"/>
        </w:rPr>
        <w:t>.</w:t>
      </w:r>
    </w:p>
    <w:p w14:paraId="16B1FC70"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lastRenderedPageBreak/>
        <w:t>Em termos de equações, a verificação do conceito de entidade pode ser apresentada da seguinte forma:</w:t>
      </w:r>
    </w:p>
    <w:p w14:paraId="452E1B45"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4D903F4" w14:textId="110A79E7" w:rsidR="0049465E" w:rsidRPr="00B97C14" w:rsidRDefault="0049465E" w:rsidP="00B97C14">
      <w:pPr>
        <w:pStyle w:val="PargrafodaLista"/>
        <w:numPr>
          <w:ilvl w:val="0"/>
          <w:numId w:val="26"/>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B97C14">
        <w:rPr>
          <w:rFonts w:cstheme="minorHAnsi"/>
          <w:b/>
        </w:rPr>
        <w:t>Uo ≤ Ui;</w:t>
      </w:r>
    </w:p>
    <w:p w14:paraId="647971F8" w14:textId="6644D253" w:rsidR="0049465E" w:rsidRPr="00B97C14" w:rsidRDefault="0049465E" w:rsidP="00B97C14">
      <w:pPr>
        <w:pStyle w:val="PargrafodaLista"/>
        <w:numPr>
          <w:ilvl w:val="0"/>
          <w:numId w:val="26"/>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B97C14">
        <w:rPr>
          <w:rFonts w:cstheme="minorHAnsi"/>
          <w:b/>
        </w:rPr>
        <w:t>Io ≤ Ii;</w:t>
      </w:r>
    </w:p>
    <w:p w14:paraId="22161821" w14:textId="01225CB8" w:rsidR="0049465E" w:rsidRPr="00B97C14" w:rsidRDefault="0049465E" w:rsidP="00B97C14">
      <w:pPr>
        <w:pStyle w:val="PargrafodaLista"/>
        <w:numPr>
          <w:ilvl w:val="0"/>
          <w:numId w:val="26"/>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B97C14">
        <w:rPr>
          <w:rFonts w:cstheme="minorHAnsi"/>
          <w:b/>
        </w:rPr>
        <w:t>Po ≤ Pi;</w:t>
      </w:r>
    </w:p>
    <w:p w14:paraId="44A86615" w14:textId="5A74B4E8" w:rsidR="0049465E" w:rsidRPr="00B97C14" w:rsidRDefault="0049465E" w:rsidP="00B97C14">
      <w:pPr>
        <w:pStyle w:val="PargrafodaLista"/>
        <w:numPr>
          <w:ilvl w:val="0"/>
          <w:numId w:val="26"/>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B97C14">
        <w:rPr>
          <w:rFonts w:cstheme="minorHAnsi"/>
          <w:b/>
        </w:rPr>
        <w:t xml:space="preserve">Lo ≥ Li + L </w:t>
      </w:r>
      <w:r w:rsidRPr="00B97C14">
        <w:rPr>
          <w:rFonts w:cstheme="minorHAnsi"/>
          <w:b/>
          <w:vertAlign w:val="subscript"/>
        </w:rPr>
        <w:t>Cabo;</w:t>
      </w:r>
    </w:p>
    <w:p w14:paraId="0B610109" w14:textId="0A6F1D58" w:rsidR="0049465E" w:rsidRPr="00B97C14" w:rsidRDefault="0049465E" w:rsidP="00B97C14">
      <w:pPr>
        <w:pStyle w:val="PargrafodaLista"/>
        <w:numPr>
          <w:ilvl w:val="0"/>
          <w:numId w:val="26"/>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B97C14">
        <w:rPr>
          <w:rFonts w:cstheme="minorHAnsi"/>
          <w:b/>
        </w:rPr>
        <w:t xml:space="preserve">Co ≥ Ci + C </w:t>
      </w:r>
      <w:r w:rsidRPr="00B97C14">
        <w:rPr>
          <w:rFonts w:cstheme="minorHAnsi"/>
          <w:b/>
          <w:vertAlign w:val="subscript"/>
        </w:rPr>
        <w:t>Cabo.</w:t>
      </w:r>
    </w:p>
    <w:p w14:paraId="23715BBC"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ED90E3E"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Se estes critérios forem verificados na fase de projeto dos circuitos intrinsecamente seguros, então a conexão pode ser implementada com total segurança, independente do modelo e do fabricante dos equipamentos que compõem o sistema intrinsecamente seguro.</w:t>
      </w:r>
    </w:p>
    <w:p w14:paraId="78043D48"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5AFEE6A" w14:textId="7777777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São apresentados no exemplo da figura a seguir os parâmetros de entidade de um transmissor de pressão Ex “ia” e de um repetidor analógico (barreira de segurança intrínseca) [Ex “ib”], bem como características “típicas” de cabos de interligação dos equipamentos de campo com as barreiras de segurança intrínseca.</w:t>
      </w:r>
    </w:p>
    <w:p w14:paraId="595A2AB4"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3251F31" w14:textId="6A66198B" w:rsidR="0049465E" w:rsidRPr="006A7498"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sz w:val="22"/>
        </w:rPr>
      </w:pPr>
      <w:r w:rsidRPr="006A7498">
        <w:rPr>
          <w:rFonts w:cstheme="minorHAnsi"/>
          <w:noProof/>
          <w:sz w:val="22"/>
        </w:rPr>
        <mc:AlternateContent>
          <mc:Choice Requires="wps">
            <w:drawing>
              <wp:inline distT="0" distB="0" distL="0" distR="0" wp14:anchorId="2266E21D" wp14:editId="42350871">
                <wp:extent cx="1609725" cy="1183640"/>
                <wp:effectExtent l="0" t="0" r="28575" b="16510"/>
                <wp:docPr id="2" name="Text Box 1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92B47EE-A5DA-4B9A-9251-9E762D5EA2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183640"/>
                        </a:xfrm>
                        <a:prstGeom prst="rect">
                          <a:avLst/>
                        </a:prstGeom>
                        <a:solidFill>
                          <a:srgbClr val="5B9BD5"/>
                        </a:solidFill>
                        <a:ln w="12700">
                          <a:solidFill>
                            <a:srgbClr val="000000"/>
                          </a:solidFill>
                          <a:miter lim="800000"/>
                          <a:headEnd/>
                          <a:tailEnd/>
                        </a:ln>
                      </wps:spPr>
                      <wps:txbx>
                        <w:txbxContent>
                          <w:p w14:paraId="13F2E9A6" w14:textId="77777777" w:rsidR="009562EA" w:rsidRPr="006A7498" w:rsidRDefault="009562EA" w:rsidP="0049465E">
                            <w:pPr>
                              <w:pStyle w:val="NormalWeb"/>
                              <w:kinsoku w:val="0"/>
                              <w:overflowPunct w:val="0"/>
                              <w:spacing w:before="0" w:beforeAutospacing="0" w:after="0" w:afterAutospacing="0"/>
                              <w:textAlignment w:val="baseline"/>
                              <w:rPr>
                                <w:sz w:val="28"/>
                              </w:rPr>
                            </w:pPr>
                            <w:r w:rsidRPr="006A7498">
                              <w:rPr>
                                <w:rFonts w:ascii="Calibri" w:eastAsia="Calibri" w:hAnsi="Calibri" w:cs="Arial"/>
                                <w:b/>
                                <w:bCs/>
                                <w:color w:val="1F1A17"/>
                                <w:kern w:val="24"/>
                                <w:sz w:val="22"/>
                                <w:szCs w:val="20"/>
                              </w:rPr>
                              <w:t>Transmissor de Pressão</w:t>
                            </w:r>
                          </w:p>
                          <w:p w14:paraId="68FA48AA" w14:textId="77777777"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Marcação: Ex ia IIC T6 Gb</w:t>
                            </w:r>
                          </w:p>
                          <w:p w14:paraId="64C286E9" w14:textId="06A74229"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Ui = 38 V / li = 103 mA / Pi</w:t>
                            </w:r>
                            <w:r w:rsidR="006A7498" w:rsidRPr="006A7498">
                              <w:rPr>
                                <w:rFonts w:ascii="Calibri" w:eastAsia="Calibri" w:hAnsi="Calibri" w:cs="Arial"/>
                                <w:color w:val="1F1A17"/>
                                <w:kern w:val="24"/>
                                <w:sz w:val="22"/>
                                <w:szCs w:val="20"/>
                              </w:rPr>
                              <w:t> </w:t>
                            </w:r>
                            <w:r w:rsidRPr="006A7498">
                              <w:rPr>
                                <w:rFonts w:ascii="Calibri" w:eastAsia="Calibri" w:hAnsi="Calibri" w:cs="Arial"/>
                                <w:color w:val="1F1A17"/>
                                <w:kern w:val="24"/>
                                <w:sz w:val="22"/>
                                <w:szCs w:val="20"/>
                              </w:rPr>
                              <w:t>= 0,98 W</w:t>
                            </w:r>
                          </w:p>
                          <w:p w14:paraId="15BE7ABB" w14:textId="77777777"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Li = 0 mH e Ci = 30 nF</w:t>
                            </w:r>
                          </w:p>
                        </w:txbxContent>
                      </wps:txbx>
                      <wps:bodyPr vert="horz" wrap="square" lIns="91440" tIns="45720" rIns="91440" bIns="45720" numCol="1" anchor="ctr" anchorCtr="0" compatLnSpc="1">
                        <a:prstTxWarp prst="textNoShape">
                          <a:avLst/>
                        </a:prstTxWarp>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266E21D" id="_x0000_t202" coordsize="21600,21600" o:spt="202" path="m,l,21600r21600,l21600,xe">
                <v:stroke joinstyle="miter"/>
                <v:path gradientshapeok="t" o:connecttype="rect"/>
              </v:shapetype>
              <v:shape id="Text Box 118" o:spid="_x0000_s1026" type="#_x0000_t202" style="width:126.75pt;height:9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" fillcolor="#5b9bd5" strokeweight="1pt">
                <v:textbox>
                  <w:txbxContent>
                    <w:p w14:paraId="13F2E9A6" w14:textId="77777777" w:rsidR="009562EA" w:rsidRPr="006A7498" w:rsidRDefault="009562EA" w:rsidP="0049465E">
                      <w:pPr>
                        <w:pStyle w:val="NormalWeb"/>
                        <w:kinsoku w:val="0"/>
                        <w:overflowPunct w:val="0"/>
                        <w:spacing w:before="0" w:beforeAutospacing="0" w:after="0" w:afterAutospacing="0"/>
                        <w:textAlignment w:val="baseline"/>
                        <w:rPr>
                          <w:sz w:val="28"/>
                        </w:rPr>
                      </w:pPr>
                      <w:r w:rsidRPr="006A7498">
                        <w:rPr>
                          <w:rFonts w:ascii="Calibri" w:eastAsia="Calibri" w:hAnsi="Calibri" w:cs="Arial"/>
                          <w:b/>
                          <w:bCs/>
                          <w:color w:val="1F1A17"/>
                          <w:kern w:val="24"/>
                          <w:sz w:val="22"/>
                          <w:szCs w:val="20"/>
                        </w:rPr>
                        <w:t>Transmissor de Pressão</w:t>
                      </w:r>
                    </w:p>
                    <w:p w14:paraId="68FA48AA" w14:textId="77777777"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Marcação: Ex ia IIC T6 Gb</w:t>
                      </w:r>
                    </w:p>
                    <w:p w14:paraId="64C286E9" w14:textId="06A74229"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 xml:space="preserve">Ui = 38 V / li = 103 mA / </w:t>
                      </w:r>
                      <w:proofErr w:type="spellStart"/>
                      <w:r w:rsidRPr="006A7498">
                        <w:rPr>
                          <w:rFonts w:ascii="Calibri" w:eastAsia="Calibri" w:hAnsi="Calibri" w:cs="Arial"/>
                          <w:color w:val="1F1A17"/>
                          <w:kern w:val="24"/>
                          <w:sz w:val="22"/>
                          <w:szCs w:val="20"/>
                        </w:rPr>
                        <w:t>Pi</w:t>
                      </w:r>
                      <w:proofErr w:type="spellEnd"/>
                      <w:r w:rsidR="006A7498" w:rsidRPr="006A7498">
                        <w:rPr>
                          <w:rFonts w:ascii="Calibri" w:eastAsia="Calibri" w:hAnsi="Calibri" w:cs="Arial"/>
                          <w:color w:val="1F1A17"/>
                          <w:kern w:val="24"/>
                          <w:sz w:val="22"/>
                          <w:szCs w:val="20"/>
                        </w:rPr>
                        <w:t> </w:t>
                      </w:r>
                      <w:r w:rsidRPr="006A7498">
                        <w:rPr>
                          <w:rFonts w:ascii="Calibri" w:eastAsia="Calibri" w:hAnsi="Calibri" w:cs="Arial"/>
                          <w:color w:val="1F1A17"/>
                          <w:kern w:val="24"/>
                          <w:sz w:val="22"/>
                          <w:szCs w:val="20"/>
                        </w:rPr>
                        <w:t>= 0,98 W</w:t>
                      </w:r>
                    </w:p>
                    <w:p w14:paraId="15BE7ABB" w14:textId="77777777"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Li = 0 mH e Ci = 30 nF</w:t>
                      </w:r>
                    </w:p>
                  </w:txbxContent>
                </v:textbox>
                <w10:anchorlock/>
              </v:shape>
            </w:pict>
          </mc:Fallback>
        </mc:AlternateContent>
      </w:r>
      <w:r w:rsidR="001C584B" w:rsidRPr="006A7498">
        <w:rPr>
          <w:rFonts w:cstheme="minorHAnsi"/>
          <w:sz w:val="22"/>
        </w:rPr>
        <w:t xml:space="preserve">  </w:t>
      </w:r>
      <w:r w:rsidRPr="006A7498">
        <w:rPr>
          <w:rFonts w:cstheme="minorHAnsi"/>
          <w:sz w:val="22"/>
        </w:rPr>
        <w:t xml:space="preserve"> </w:t>
      </w:r>
      <w:r w:rsidRPr="006A7498">
        <w:rPr>
          <w:rFonts w:cstheme="minorHAnsi"/>
          <w:noProof/>
          <w:sz w:val="22"/>
        </w:rPr>
        <mc:AlternateContent>
          <mc:Choice Requires="wps">
            <w:drawing>
              <wp:inline distT="0" distB="0" distL="0" distR="0" wp14:anchorId="10D86E09" wp14:editId="0791A342">
                <wp:extent cx="2390775" cy="1171575"/>
                <wp:effectExtent l="0" t="0" r="28575" b="28575"/>
                <wp:docPr id="20" name="Text Box 1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21FE46A-7950-4987-8147-724F28C0E1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71575"/>
                        </a:xfrm>
                        <a:prstGeom prst="rect">
                          <a:avLst/>
                        </a:prstGeom>
                        <a:solidFill>
                          <a:srgbClr val="D8D8D8"/>
                        </a:solidFill>
                        <a:ln w="12700">
                          <a:solidFill>
                            <a:srgbClr val="000000"/>
                          </a:solidFill>
                          <a:miter lim="800000"/>
                          <a:headEnd/>
                          <a:tailEnd/>
                        </a:ln>
                      </wps:spPr>
                      <wps:txbx>
                        <w:txbxContent>
                          <w:p w14:paraId="3BA77C35" w14:textId="3FDEDA63" w:rsidR="009562EA" w:rsidRPr="006A7498" w:rsidRDefault="009562EA" w:rsidP="0049465E">
                            <w:pPr>
                              <w:pStyle w:val="NormalWeb"/>
                              <w:kinsoku w:val="0"/>
                              <w:overflowPunct w:val="0"/>
                              <w:spacing w:before="0" w:beforeAutospacing="0" w:after="0" w:afterAutospacing="0"/>
                              <w:textAlignment w:val="baseline"/>
                              <w:rPr>
                                <w:sz w:val="28"/>
                              </w:rPr>
                            </w:pPr>
                            <w:r w:rsidRPr="006A7498">
                              <w:rPr>
                                <w:rFonts w:ascii="Calibri" w:eastAsia="Calibri" w:hAnsi="Calibri" w:cs="Arial"/>
                                <w:b/>
                                <w:bCs/>
                                <w:color w:val="1F1A17"/>
                                <w:kern w:val="24"/>
                                <w:sz w:val="22"/>
                                <w:szCs w:val="20"/>
                              </w:rPr>
                              <w:t>Cabo de Interconexão</w:t>
                            </w:r>
                          </w:p>
                          <w:p w14:paraId="2354CE54" w14:textId="77777777"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Comprimento 500 m (0,5 km)</w:t>
                            </w:r>
                          </w:p>
                          <w:p w14:paraId="077C3487" w14:textId="77777777"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Indutância “típica”: 2 mH/km</w:t>
                            </w:r>
                          </w:p>
                          <w:p w14:paraId="42F7C183" w14:textId="77777777"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L cabo = 2 mH/km x 0,5 km = 1 mH</w:t>
                            </w:r>
                          </w:p>
                          <w:p w14:paraId="6B3456B5" w14:textId="77777777" w:rsidR="00C22912" w:rsidRDefault="009562EA" w:rsidP="0049465E">
                            <w:pPr>
                              <w:pStyle w:val="NormalWeb"/>
                              <w:kinsoku w:val="0"/>
                              <w:overflowPunct w:val="0"/>
                              <w:spacing w:before="0" w:beforeAutospacing="0" w:after="0" w:afterAutospacing="0"/>
                              <w:textAlignment w:val="baseline"/>
                              <w:rPr>
                                <w:rFonts w:ascii="Calibri" w:eastAsia="Calibri" w:hAnsi="Calibri" w:cs="Arial"/>
                                <w:color w:val="1F1A17"/>
                                <w:kern w:val="24"/>
                                <w:sz w:val="22"/>
                                <w:szCs w:val="20"/>
                              </w:rPr>
                            </w:pPr>
                            <w:r w:rsidRPr="006A7498">
                              <w:rPr>
                                <w:rFonts w:ascii="Calibri" w:eastAsia="Calibri" w:hAnsi="Calibri" w:cs="Arial"/>
                                <w:color w:val="1F1A17"/>
                                <w:kern w:val="24"/>
                                <w:sz w:val="22"/>
                                <w:szCs w:val="20"/>
                              </w:rPr>
                              <w:t>Capacitância “típica”: 20 nF/km</w:t>
                            </w:r>
                          </w:p>
                          <w:p w14:paraId="42A0231F" w14:textId="6C0732CA"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C cabo = 20 nF/km x 0,5 km = 10 nF</w:t>
                            </w:r>
                          </w:p>
                        </w:txbxContent>
                      </wps:txbx>
                      <wps:bodyPr vert="horz" wrap="square" lIns="91440" tIns="45720" rIns="91440" bIns="45720" numCol="1" anchor="ctr" anchorCtr="0" compatLnSpc="1">
                        <a:prstTxWarp prst="textNoShape">
                          <a:avLst/>
                        </a:prstTxWarp>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D86E09" id="Text Box 117" o:spid="_x0000_s1027" type="#_x0000_t202" style="width:188.25pt;height:9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" fillcolor="#d8d8d8" strokeweight="1pt">
                <v:textbox>
                  <w:txbxContent>
                    <w:p w14:paraId="3BA77C35" w14:textId="3FDEDA63" w:rsidR="009562EA" w:rsidRPr="006A7498" w:rsidRDefault="009562EA" w:rsidP="0049465E">
                      <w:pPr>
                        <w:pStyle w:val="NormalWeb"/>
                        <w:kinsoku w:val="0"/>
                        <w:overflowPunct w:val="0"/>
                        <w:spacing w:before="0" w:beforeAutospacing="0" w:after="0" w:afterAutospacing="0"/>
                        <w:textAlignment w:val="baseline"/>
                        <w:rPr>
                          <w:sz w:val="28"/>
                        </w:rPr>
                      </w:pPr>
                      <w:r w:rsidRPr="006A7498">
                        <w:rPr>
                          <w:rFonts w:ascii="Calibri" w:eastAsia="Calibri" w:hAnsi="Calibri" w:cs="Arial"/>
                          <w:b/>
                          <w:bCs/>
                          <w:color w:val="1F1A17"/>
                          <w:kern w:val="24"/>
                          <w:sz w:val="22"/>
                          <w:szCs w:val="20"/>
                        </w:rPr>
                        <w:t>Cabo de Interconexão</w:t>
                      </w:r>
                    </w:p>
                    <w:p w14:paraId="2354CE54" w14:textId="77777777"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Comprimento 500 m (0,5 km)</w:t>
                      </w:r>
                    </w:p>
                    <w:p w14:paraId="077C3487" w14:textId="77777777"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Indutância “típica”: 2 mH/km</w:t>
                      </w:r>
                    </w:p>
                    <w:p w14:paraId="42F7C183" w14:textId="77777777"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L cabo = 2 mH/km x 0,5 km = 1 mH</w:t>
                      </w:r>
                    </w:p>
                    <w:p w14:paraId="6B3456B5" w14:textId="77777777" w:rsidR="00C22912" w:rsidRDefault="009562EA" w:rsidP="0049465E">
                      <w:pPr>
                        <w:pStyle w:val="NormalWeb"/>
                        <w:kinsoku w:val="0"/>
                        <w:overflowPunct w:val="0"/>
                        <w:spacing w:before="0" w:beforeAutospacing="0" w:after="0" w:afterAutospacing="0"/>
                        <w:textAlignment w:val="baseline"/>
                        <w:rPr>
                          <w:rFonts w:ascii="Calibri" w:eastAsia="Calibri" w:hAnsi="Calibri" w:cs="Arial"/>
                          <w:color w:val="1F1A17"/>
                          <w:kern w:val="24"/>
                          <w:sz w:val="22"/>
                          <w:szCs w:val="20"/>
                        </w:rPr>
                      </w:pPr>
                      <w:r w:rsidRPr="006A7498">
                        <w:rPr>
                          <w:rFonts w:ascii="Calibri" w:eastAsia="Calibri" w:hAnsi="Calibri" w:cs="Arial"/>
                          <w:color w:val="1F1A17"/>
                          <w:kern w:val="24"/>
                          <w:sz w:val="22"/>
                          <w:szCs w:val="20"/>
                        </w:rPr>
                        <w:t>Capacitância “típica”: 20 nF/km</w:t>
                      </w:r>
                    </w:p>
                    <w:p w14:paraId="42A0231F" w14:textId="6C0732CA" w:rsidR="009562EA" w:rsidRPr="006A7498" w:rsidRDefault="009562EA" w:rsidP="0049465E">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C cabo = 20 nF/km x 0,5 km = 10 nF</w:t>
                      </w:r>
                    </w:p>
                  </w:txbxContent>
                </v:textbox>
                <w10:anchorlock/>
              </v:shape>
            </w:pict>
          </mc:Fallback>
        </mc:AlternateContent>
      </w:r>
      <w:r w:rsidR="001C584B" w:rsidRPr="006A7498">
        <w:rPr>
          <w:rFonts w:cstheme="minorHAnsi"/>
          <w:sz w:val="22"/>
        </w:rPr>
        <w:t xml:space="preserve">  </w:t>
      </w:r>
      <w:r w:rsidR="001C584B" w:rsidRPr="006A7498">
        <w:rPr>
          <w:rFonts w:cstheme="minorHAnsi"/>
          <w:noProof/>
          <w:sz w:val="22"/>
        </w:rPr>
        <mc:AlternateContent>
          <mc:Choice Requires="wps">
            <w:drawing>
              <wp:inline distT="0" distB="0" distL="0" distR="0" wp14:anchorId="1CF34B3F" wp14:editId="7930C409">
                <wp:extent cx="1788795" cy="1171575"/>
                <wp:effectExtent l="0" t="0" r="20955" b="28575"/>
                <wp:docPr id="3" name="Text Box 1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0DCB166-E2C4-4AC7-AAFE-56197BE371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171575"/>
                        </a:xfrm>
                        <a:prstGeom prst="rect">
                          <a:avLst/>
                        </a:prstGeom>
                        <a:solidFill>
                          <a:srgbClr val="DEEAF6"/>
                        </a:solidFill>
                        <a:ln w="12700">
                          <a:solidFill>
                            <a:srgbClr val="000000"/>
                          </a:solidFill>
                          <a:miter lim="800000"/>
                          <a:headEnd/>
                          <a:tailEnd/>
                        </a:ln>
                      </wps:spPr>
                      <wps:txbx>
                        <w:txbxContent>
                          <w:p w14:paraId="2CDBB785" w14:textId="77777777" w:rsidR="009562EA" w:rsidRPr="006A7498" w:rsidRDefault="009562EA" w:rsidP="001C584B">
                            <w:pPr>
                              <w:pStyle w:val="NormalWeb"/>
                              <w:kinsoku w:val="0"/>
                              <w:overflowPunct w:val="0"/>
                              <w:spacing w:before="0" w:beforeAutospacing="0" w:after="0" w:afterAutospacing="0"/>
                              <w:textAlignment w:val="baseline"/>
                              <w:rPr>
                                <w:sz w:val="28"/>
                              </w:rPr>
                            </w:pPr>
                            <w:r w:rsidRPr="006A7498">
                              <w:rPr>
                                <w:rFonts w:ascii="Calibri" w:eastAsia="Calibri" w:hAnsi="Calibri" w:cs="Arial"/>
                                <w:b/>
                                <w:bCs/>
                                <w:color w:val="1F1A17"/>
                                <w:kern w:val="24"/>
                                <w:sz w:val="22"/>
                                <w:szCs w:val="20"/>
                              </w:rPr>
                              <w:t>Repetidor Analógico</w:t>
                            </w:r>
                          </w:p>
                          <w:p w14:paraId="041C3260" w14:textId="77777777" w:rsidR="009562EA" w:rsidRPr="006A7498" w:rsidRDefault="009562EA" w:rsidP="001C584B">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Marcação: [Ex ib] IIC T6 Gb</w:t>
                            </w:r>
                          </w:p>
                          <w:p w14:paraId="48C5442C" w14:textId="31358AFE" w:rsidR="009562EA" w:rsidRPr="006A7498" w:rsidRDefault="009562EA" w:rsidP="001C584B">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Uo = 28,7 V / lo = 98 mA / Po</w:t>
                            </w:r>
                            <w:r w:rsidR="006A7498" w:rsidRPr="006A7498">
                              <w:rPr>
                                <w:rFonts w:ascii="Calibri" w:eastAsia="Calibri" w:hAnsi="Calibri" w:cs="Arial"/>
                                <w:color w:val="1F1A17"/>
                                <w:kern w:val="24"/>
                                <w:sz w:val="22"/>
                                <w:szCs w:val="20"/>
                              </w:rPr>
                              <w:t> </w:t>
                            </w:r>
                            <w:r w:rsidRPr="006A7498">
                              <w:rPr>
                                <w:rFonts w:ascii="Calibri" w:eastAsia="Calibri" w:hAnsi="Calibri" w:cs="Arial"/>
                                <w:color w:val="1F1A17"/>
                                <w:kern w:val="24"/>
                                <w:sz w:val="22"/>
                                <w:szCs w:val="20"/>
                              </w:rPr>
                              <w:t>= 0,703 W</w:t>
                            </w:r>
                          </w:p>
                          <w:p w14:paraId="52D527C5" w14:textId="77777777" w:rsidR="009562EA" w:rsidRPr="006A7498" w:rsidRDefault="009562EA" w:rsidP="001C584B">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Lo = 3 mH e Co = 65 nF</w:t>
                            </w:r>
                          </w:p>
                        </w:txbxContent>
                      </wps:txbx>
                      <wps:bodyPr vert="horz" wrap="square" lIns="91440" tIns="45720" rIns="91440" bIns="45720" numCol="1" anchor="ctr" anchorCtr="0" compatLnSpc="1">
                        <a:prstTxWarp prst="textNoShape">
                          <a:avLst/>
                        </a:prstTxWarp>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F34B3F" id="Text Box 119" o:spid="_x0000_s1028" type="#_x0000_t202" style="width:140.85pt;height:9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" fillcolor="#deeaf6" strokeweight="1pt">
                <v:textbox>
                  <w:txbxContent>
                    <w:p w14:paraId="2CDBB785" w14:textId="77777777" w:rsidR="009562EA" w:rsidRPr="006A7498" w:rsidRDefault="009562EA" w:rsidP="001C584B">
                      <w:pPr>
                        <w:pStyle w:val="NormalWeb"/>
                        <w:kinsoku w:val="0"/>
                        <w:overflowPunct w:val="0"/>
                        <w:spacing w:before="0" w:beforeAutospacing="0" w:after="0" w:afterAutospacing="0"/>
                        <w:textAlignment w:val="baseline"/>
                        <w:rPr>
                          <w:sz w:val="28"/>
                        </w:rPr>
                      </w:pPr>
                      <w:r w:rsidRPr="006A7498">
                        <w:rPr>
                          <w:rFonts w:ascii="Calibri" w:eastAsia="Calibri" w:hAnsi="Calibri" w:cs="Arial"/>
                          <w:b/>
                          <w:bCs/>
                          <w:color w:val="1F1A17"/>
                          <w:kern w:val="24"/>
                          <w:sz w:val="22"/>
                          <w:szCs w:val="20"/>
                        </w:rPr>
                        <w:t>Repetidor Analógico</w:t>
                      </w:r>
                    </w:p>
                    <w:p w14:paraId="041C3260" w14:textId="77777777" w:rsidR="009562EA" w:rsidRPr="006A7498" w:rsidRDefault="009562EA" w:rsidP="001C584B">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Marcação: [Ex ib] IIC T6 Gb</w:t>
                      </w:r>
                    </w:p>
                    <w:p w14:paraId="48C5442C" w14:textId="31358AFE" w:rsidR="009562EA" w:rsidRPr="006A7498" w:rsidRDefault="009562EA" w:rsidP="001C584B">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 xml:space="preserve">Uo = 28,7 V / lo = 98 mA / </w:t>
                      </w:r>
                      <w:proofErr w:type="spellStart"/>
                      <w:r w:rsidRPr="006A7498">
                        <w:rPr>
                          <w:rFonts w:ascii="Calibri" w:eastAsia="Calibri" w:hAnsi="Calibri" w:cs="Arial"/>
                          <w:color w:val="1F1A17"/>
                          <w:kern w:val="24"/>
                          <w:sz w:val="22"/>
                          <w:szCs w:val="20"/>
                        </w:rPr>
                        <w:t>Po</w:t>
                      </w:r>
                      <w:proofErr w:type="spellEnd"/>
                      <w:r w:rsidR="006A7498" w:rsidRPr="006A7498">
                        <w:rPr>
                          <w:rFonts w:ascii="Calibri" w:eastAsia="Calibri" w:hAnsi="Calibri" w:cs="Arial"/>
                          <w:color w:val="1F1A17"/>
                          <w:kern w:val="24"/>
                          <w:sz w:val="22"/>
                          <w:szCs w:val="20"/>
                        </w:rPr>
                        <w:t> </w:t>
                      </w:r>
                      <w:r w:rsidRPr="006A7498">
                        <w:rPr>
                          <w:rFonts w:ascii="Calibri" w:eastAsia="Calibri" w:hAnsi="Calibri" w:cs="Arial"/>
                          <w:color w:val="1F1A17"/>
                          <w:kern w:val="24"/>
                          <w:sz w:val="22"/>
                          <w:szCs w:val="20"/>
                        </w:rPr>
                        <w:t>= 0,703 W</w:t>
                      </w:r>
                    </w:p>
                    <w:p w14:paraId="52D527C5" w14:textId="77777777" w:rsidR="009562EA" w:rsidRPr="006A7498" w:rsidRDefault="009562EA" w:rsidP="001C584B">
                      <w:pPr>
                        <w:pStyle w:val="NormalWeb"/>
                        <w:kinsoku w:val="0"/>
                        <w:overflowPunct w:val="0"/>
                        <w:spacing w:before="0" w:beforeAutospacing="0" w:after="0" w:afterAutospacing="0"/>
                        <w:textAlignment w:val="baseline"/>
                        <w:rPr>
                          <w:sz w:val="20"/>
                        </w:rPr>
                      </w:pPr>
                      <w:r w:rsidRPr="006A7498">
                        <w:rPr>
                          <w:rFonts w:ascii="Calibri" w:eastAsia="Calibri" w:hAnsi="Calibri" w:cs="Arial"/>
                          <w:color w:val="1F1A17"/>
                          <w:kern w:val="24"/>
                          <w:sz w:val="22"/>
                          <w:szCs w:val="20"/>
                        </w:rPr>
                        <w:t>Lo = 3 mH e Co = 65 nF</w:t>
                      </w:r>
                    </w:p>
                  </w:txbxContent>
                </v:textbox>
                <w10:anchorlock/>
              </v:shape>
            </w:pict>
          </mc:Fallback>
        </mc:AlternateContent>
      </w:r>
    </w:p>
    <w:p w14:paraId="722A98E7"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738CABB" w14:textId="77777777" w:rsidR="0049465E" w:rsidRPr="005B7103"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5B7103">
        <w:rPr>
          <w:rFonts w:cstheme="minorHAnsi"/>
          <w:i/>
          <w:sz w:val="18"/>
        </w:rPr>
        <w:t>Exemplo de parâmetros de entidade de certificação de transmissor Ex “ia” e Barreira [Ex “ib”] para avaliação de circuito intrinsecamente seguro</w:t>
      </w:r>
    </w:p>
    <w:p w14:paraId="39DE8EB4" w14:textId="7777777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C</w:t>
      </w:r>
      <w:r w:rsidR="0049465E" w:rsidRPr="0088664A">
        <w:rPr>
          <w:rFonts w:cstheme="minorHAnsi"/>
        </w:rPr>
        <w:t>á</w:t>
      </w:r>
      <w:r w:rsidRPr="0088664A">
        <w:rPr>
          <w:rFonts w:cstheme="minorHAnsi"/>
        </w:rPr>
        <w:t>lculo da interconexão, utilizando os parâmetros de entidade do transmissor Ex “i” e da barreira [Ex “i”]:</w:t>
      </w:r>
    </w:p>
    <w:p w14:paraId="2A156D47" w14:textId="7777777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30E0720" w14:textId="34A598F3"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88664A">
        <w:rPr>
          <w:rFonts w:cstheme="minorHAnsi"/>
          <w:b/>
        </w:rPr>
        <w:t>Energia manipulada pelo sistema</w:t>
      </w:r>
      <w:r w:rsidR="00C22912">
        <w:rPr>
          <w:rFonts w:cstheme="minorHAnsi"/>
          <w:b/>
        </w:rPr>
        <w:t xml:space="preserve"> intrinsecamente seguro</w:t>
      </w:r>
      <w:r w:rsidRPr="0088664A">
        <w:rPr>
          <w:rFonts w:cstheme="minorHAnsi"/>
          <w:b/>
        </w:rPr>
        <w:t>:</w:t>
      </w:r>
    </w:p>
    <w:p w14:paraId="1C34114C" w14:textId="7777777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Ui = 38 V ≥ Uo = 28,7 V [Verificação do critério de interconexão: </w:t>
      </w:r>
      <w:r w:rsidRPr="0088664A">
        <w:rPr>
          <w:rFonts w:cstheme="minorHAnsi"/>
          <w:b/>
        </w:rPr>
        <w:t>Ok</w:t>
      </w:r>
      <w:r w:rsidRPr="0088664A">
        <w:rPr>
          <w:rFonts w:cstheme="minorHAnsi"/>
        </w:rPr>
        <w:t>]</w:t>
      </w:r>
    </w:p>
    <w:p w14:paraId="14884CB4" w14:textId="7777777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li = 103 mA ≥ Io = 98 mA [Verificação do critério de interconexão: </w:t>
      </w:r>
      <w:r w:rsidRPr="0088664A">
        <w:rPr>
          <w:rFonts w:cstheme="minorHAnsi"/>
          <w:b/>
        </w:rPr>
        <w:t>Ok</w:t>
      </w:r>
      <w:r w:rsidRPr="0088664A">
        <w:rPr>
          <w:rFonts w:cstheme="minorHAnsi"/>
        </w:rPr>
        <w:t>]</w:t>
      </w:r>
    </w:p>
    <w:p w14:paraId="4BF362CB" w14:textId="7777777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Pi = 980 mW ≥ Po = 703 mW [Verificação do critério de interconexão: </w:t>
      </w:r>
      <w:r w:rsidRPr="0088664A">
        <w:rPr>
          <w:rFonts w:cstheme="minorHAnsi"/>
          <w:b/>
        </w:rPr>
        <w:t>Ok</w:t>
      </w:r>
      <w:r w:rsidRPr="0088664A">
        <w:rPr>
          <w:rFonts w:cstheme="minorHAnsi"/>
        </w:rPr>
        <w:t>]</w:t>
      </w:r>
    </w:p>
    <w:p w14:paraId="5321D193" w14:textId="7777777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371C759" w14:textId="7C56514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88664A">
        <w:rPr>
          <w:rFonts w:cstheme="minorHAnsi"/>
          <w:b/>
        </w:rPr>
        <w:t>Energia armazenada no sistema</w:t>
      </w:r>
      <w:r w:rsidR="00C22912">
        <w:rPr>
          <w:rFonts w:cstheme="minorHAnsi"/>
          <w:b/>
        </w:rPr>
        <w:t xml:space="preserve"> intrinsecamente seguro</w:t>
      </w:r>
      <w:r w:rsidRPr="0088664A">
        <w:rPr>
          <w:rFonts w:cstheme="minorHAnsi"/>
          <w:b/>
        </w:rPr>
        <w:t>:</w:t>
      </w:r>
    </w:p>
    <w:p w14:paraId="4EF97E18" w14:textId="7777777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Li + L cabo = 0 + 1 mH ≤ Lo = 3 mH [Verificação do critério de interconexão: </w:t>
      </w:r>
      <w:r w:rsidRPr="0088664A">
        <w:rPr>
          <w:rFonts w:cstheme="minorHAnsi"/>
          <w:b/>
        </w:rPr>
        <w:t>Ok</w:t>
      </w:r>
      <w:r w:rsidRPr="0088664A">
        <w:rPr>
          <w:rFonts w:cstheme="minorHAnsi"/>
        </w:rPr>
        <w:t>]</w:t>
      </w:r>
    </w:p>
    <w:p w14:paraId="5467339D" w14:textId="7777777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Ci + C cabo = 30 nF + 10 nF ≤ Co = 65 nF [Verificação do critério de interconexão: </w:t>
      </w:r>
      <w:r w:rsidRPr="0088664A">
        <w:rPr>
          <w:rFonts w:cstheme="minorHAnsi"/>
          <w:b/>
        </w:rPr>
        <w:t>Ok</w:t>
      </w:r>
      <w:r w:rsidRPr="0088664A">
        <w:rPr>
          <w:rFonts w:cstheme="minorHAnsi"/>
        </w:rPr>
        <w:t>]</w:t>
      </w:r>
    </w:p>
    <w:p w14:paraId="1633E029" w14:textId="77777777"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F2B3B5E" w14:textId="29782491" w:rsidR="00225109" w:rsidRPr="0088664A"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Como todos os critérios de interconexão de um circuito intrinsecamente seguro foram </w:t>
      </w:r>
      <w:r w:rsidRPr="00C22912">
        <w:rPr>
          <w:rFonts w:cstheme="minorHAnsi"/>
          <w:b/>
        </w:rPr>
        <w:t>atendidos</w:t>
      </w:r>
      <w:r w:rsidRPr="0088664A">
        <w:rPr>
          <w:rFonts w:cstheme="minorHAnsi"/>
        </w:rPr>
        <w:t xml:space="preserve">, pode ser considerada </w:t>
      </w:r>
      <w:r w:rsidRPr="0088664A">
        <w:rPr>
          <w:rFonts w:cstheme="minorHAnsi"/>
          <w:b/>
        </w:rPr>
        <w:t>segura</w:t>
      </w:r>
      <w:r w:rsidRPr="0088664A">
        <w:rPr>
          <w:rFonts w:cstheme="minorHAnsi"/>
        </w:rPr>
        <w:t xml:space="preserve"> a interconexão entre o instrumento Ex “ia” e a barreira [Ex “ib”] apresentados</w:t>
      </w:r>
      <w:r w:rsidR="00B97C14">
        <w:rPr>
          <w:rFonts w:cstheme="minorHAnsi"/>
        </w:rPr>
        <w:t>.</w:t>
      </w:r>
    </w:p>
    <w:p w14:paraId="18916103" w14:textId="77777777" w:rsidR="00225109" w:rsidRDefault="0022510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C437E18" w14:textId="77777777" w:rsidR="005C472A" w:rsidRPr="005C472A" w:rsidRDefault="005C472A"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Pr>
          <w:rFonts w:cstheme="minorHAnsi"/>
        </w:rPr>
        <w:t>Na figura a seguir é apresentado um d</w:t>
      </w:r>
      <w:r w:rsidRPr="005C472A">
        <w:rPr>
          <w:rFonts w:cstheme="minorHAnsi"/>
        </w:rPr>
        <w:t xml:space="preserve">iagrama de malha típico para a documentação descritiva de projeto de sistemas intrinsecamente seguros, de acordo com a </w:t>
      </w:r>
      <w:r>
        <w:rPr>
          <w:rFonts w:cstheme="minorHAnsi"/>
        </w:rPr>
        <w:t xml:space="preserve">Norma Técnica Brasileira adotada </w:t>
      </w:r>
      <w:r w:rsidRPr="005C472A">
        <w:rPr>
          <w:rFonts w:cstheme="minorHAnsi"/>
          <w:b/>
        </w:rPr>
        <w:t>ABNT NBR IEC 60079-25</w:t>
      </w:r>
      <w:r w:rsidRPr="005C472A">
        <w:rPr>
          <w:rFonts w:cstheme="minorHAnsi"/>
        </w:rPr>
        <w:t>: Sensor, transmissor, caixa de junção, painel de interfaces intrinsecamente seguras e sistema de controle de processo</w:t>
      </w:r>
      <w:r>
        <w:rPr>
          <w:rFonts w:cstheme="minorHAnsi"/>
        </w:rPr>
        <w:t>.</w:t>
      </w:r>
    </w:p>
    <w:p w14:paraId="64491590" w14:textId="77777777" w:rsidR="005C472A" w:rsidRPr="0088664A" w:rsidRDefault="005C472A"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2CD3404" w14:textId="77777777" w:rsidR="00142474" w:rsidRPr="0088664A" w:rsidRDefault="00174E8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bookmarkStart w:id="0" w:name="OLE_LINK9"/>
      <w:bookmarkStart w:id="1" w:name="OLE_LINK10"/>
      <w:r w:rsidRPr="0088664A">
        <w:rPr>
          <w:noProof/>
        </w:rPr>
        <w:drawing>
          <wp:inline distT="0" distB="0" distL="0" distR="0" wp14:anchorId="0D1E9337" wp14:editId="5C5B6550">
            <wp:extent cx="4718848" cy="2017456"/>
            <wp:effectExtent l="0" t="0" r="5715" b="190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734147" cy="2023997"/>
                    </a:xfrm>
                    <a:prstGeom prst="rect">
                      <a:avLst/>
                    </a:prstGeom>
                    <a:noFill/>
                    <a:ln>
                      <a:noFill/>
                    </a:ln>
                  </pic:spPr>
                </pic:pic>
              </a:graphicData>
            </a:graphic>
          </wp:inline>
        </w:drawing>
      </w:r>
    </w:p>
    <w:p w14:paraId="4D71BFB3" w14:textId="77777777" w:rsidR="0049465E" w:rsidRPr="005B7103"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5B7103">
        <w:rPr>
          <w:rFonts w:cstheme="minorHAnsi"/>
          <w:i/>
          <w:sz w:val="18"/>
        </w:rPr>
        <w:t>Diagrama de malha típico para a documentação descritiva de projeto de sistemas intrinsecamente seguros</w:t>
      </w:r>
      <w:r w:rsidR="005C472A" w:rsidRPr="005B7103">
        <w:rPr>
          <w:rFonts w:cstheme="minorHAnsi"/>
          <w:i/>
          <w:sz w:val="18"/>
        </w:rPr>
        <w:t xml:space="preserve"> (ABNT NBR </w:t>
      </w:r>
      <w:r w:rsidR="005B7103">
        <w:rPr>
          <w:rFonts w:cstheme="minorHAnsi"/>
          <w:i/>
          <w:sz w:val="18"/>
        </w:rPr>
        <w:t>IEC 60079</w:t>
      </w:r>
      <w:r w:rsidR="005B7103">
        <w:rPr>
          <w:rFonts w:cstheme="minorHAnsi"/>
          <w:i/>
          <w:sz w:val="18"/>
        </w:rPr>
        <w:noBreakHyphen/>
      </w:r>
      <w:r w:rsidRPr="005B7103">
        <w:rPr>
          <w:rFonts w:cstheme="minorHAnsi"/>
          <w:i/>
          <w:sz w:val="18"/>
        </w:rPr>
        <w:t>25</w:t>
      </w:r>
      <w:r w:rsidR="005C472A" w:rsidRPr="005B7103">
        <w:rPr>
          <w:rFonts w:cstheme="minorHAnsi"/>
          <w:i/>
          <w:sz w:val="18"/>
        </w:rPr>
        <w:t>)</w:t>
      </w:r>
    </w:p>
    <w:bookmarkEnd w:id="0"/>
    <w:bookmarkEnd w:id="1"/>
    <w:p w14:paraId="1FD42333" w14:textId="77777777" w:rsidR="0049465E"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85727F5" w14:textId="2E0C1EE3" w:rsidR="00F640CE" w:rsidRDefault="00F640CE" w:rsidP="00F640CE">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9D6147">
        <w:rPr>
          <w:rFonts w:cstheme="minorHAnsi"/>
          <w:noProof/>
        </w:rPr>
        <w:drawing>
          <wp:inline distT="0" distB="0" distL="0" distR="0" wp14:anchorId="1A530ED1" wp14:editId="7F6C22E4">
            <wp:extent cx="2831896" cy="2218267"/>
            <wp:effectExtent l="19050" t="19050" r="26035" b="10795"/>
            <wp:docPr id="4" name="Imagem 4" descr="V:\RPBC_ESTO\NP-1\1.1 Corporativo\Geral ESTO\Elétrica\Bulgarelli\Artigos em revistas\Segurança intrínseca\ABNT NBR IEC 60079-25 Front Page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RPBC_ESTO\NP-1\1.1 Corporativo\Geral ESTO\Elétrica\Bulgarelli\Artigos em revistas\Segurança intrínseca\ABNT NBR IEC 60079-25 Front Page 2013.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60821" cy="2240925"/>
                    </a:xfrm>
                    <a:prstGeom prst="rect">
                      <a:avLst/>
                    </a:prstGeom>
                    <a:noFill/>
                    <a:ln>
                      <a:solidFill>
                        <a:schemeClr val="tx1"/>
                      </a:solidFill>
                    </a:ln>
                  </pic:spPr>
                </pic:pic>
              </a:graphicData>
            </a:graphic>
          </wp:inline>
        </w:drawing>
      </w:r>
      <w:r>
        <w:rPr>
          <w:rFonts w:cstheme="minorHAnsi"/>
        </w:rPr>
        <w:t xml:space="preserve">  </w:t>
      </w:r>
      <w:r w:rsidR="000E46C8">
        <w:rPr>
          <w:rFonts w:cstheme="minorHAnsi"/>
        </w:rPr>
        <w:t xml:space="preserve">  </w:t>
      </w:r>
      <w:r>
        <w:rPr>
          <w:rFonts w:cstheme="minorHAnsi"/>
        </w:rPr>
        <w:t xml:space="preserve">   </w:t>
      </w:r>
      <w:r w:rsidRPr="009D6147">
        <w:rPr>
          <w:rFonts w:cstheme="minorHAnsi"/>
          <w:noProof/>
        </w:rPr>
        <w:drawing>
          <wp:inline distT="0" distB="0" distL="0" distR="0" wp14:anchorId="72838328" wp14:editId="3A4B78F6">
            <wp:extent cx="2805288" cy="2195048"/>
            <wp:effectExtent l="19050" t="19050" r="14605" b="15240"/>
            <wp:docPr id="6" name="Imagem 6" descr="V:\RPBC_ESTO\NP-1\1.1 Corporativo\Geral ESTO\Elétrica\Bulgarelli\Artigos em revistas\Segurança intrínseca\ABNT NBR IEC 60079-25 Front Page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RPBC_ESTO\NP-1\1.1 Corporativo\Geral ESTO\Elétrica\Bulgarelli\Artigos em revistas\Segurança intrínseca\ABNT NBR IEC 60079-25 Front Page 2011.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23941" cy="2209643"/>
                    </a:xfrm>
                    <a:prstGeom prst="rect">
                      <a:avLst/>
                    </a:prstGeom>
                    <a:noFill/>
                    <a:ln>
                      <a:solidFill>
                        <a:schemeClr val="tx1"/>
                      </a:solidFill>
                    </a:ln>
                  </pic:spPr>
                </pic:pic>
              </a:graphicData>
            </a:graphic>
          </wp:inline>
        </w:drawing>
      </w:r>
    </w:p>
    <w:p w14:paraId="32A49FF9" w14:textId="77777777" w:rsidR="00F640CE" w:rsidRDefault="00F640CE" w:rsidP="00F640CE">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099CF3F" w14:textId="4B56B931" w:rsidR="007358DF" w:rsidRPr="0022440E" w:rsidRDefault="0022440E" w:rsidP="0022440E">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22440E">
        <w:rPr>
          <w:rFonts w:cstheme="minorHAnsi"/>
          <w:i/>
          <w:sz w:val="18"/>
        </w:rPr>
        <w:t xml:space="preserve">Normas Técnicas Brasileiras adotadas sobre </w:t>
      </w:r>
      <w:r w:rsidRPr="0022440E">
        <w:rPr>
          <w:rFonts w:cstheme="minorHAnsi"/>
          <w:b/>
          <w:i/>
          <w:sz w:val="18"/>
        </w:rPr>
        <w:t>equipamentos</w:t>
      </w:r>
      <w:r w:rsidRPr="0022440E">
        <w:rPr>
          <w:rFonts w:cstheme="minorHAnsi"/>
          <w:i/>
          <w:sz w:val="18"/>
        </w:rPr>
        <w:t xml:space="preserve"> e </w:t>
      </w:r>
      <w:r w:rsidRPr="0022440E">
        <w:rPr>
          <w:rFonts w:cstheme="minorHAnsi"/>
          <w:b/>
          <w:i/>
          <w:sz w:val="18"/>
        </w:rPr>
        <w:t>sistemas</w:t>
      </w:r>
      <w:r w:rsidRPr="0022440E">
        <w:rPr>
          <w:rFonts w:cstheme="minorHAnsi"/>
          <w:i/>
          <w:sz w:val="18"/>
        </w:rPr>
        <w:t xml:space="preserve"> intrinsecamente seguros</w:t>
      </w:r>
      <w:r>
        <w:rPr>
          <w:rFonts w:cstheme="minorHAnsi"/>
          <w:i/>
          <w:sz w:val="18"/>
        </w:rPr>
        <w:t xml:space="preserve"> (Ex “i”</w:t>
      </w:r>
      <w:r w:rsidR="008C6C0C">
        <w:rPr>
          <w:rFonts w:cstheme="minorHAnsi"/>
          <w:i/>
          <w:sz w:val="18"/>
        </w:rPr>
        <w:t>)</w:t>
      </w:r>
    </w:p>
    <w:p w14:paraId="7A2FA320" w14:textId="77777777" w:rsidR="0022440E" w:rsidRPr="0088664A" w:rsidRDefault="0022440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7B0A224" w14:textId="77777777" w:rsidR="006204DD" w:rsidRPr="006A7498" w:rsidRDefault="006204DD" w:rsidP="0088664A">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Características da aplicação da segurança intrínseca em sistemas de instrumentação, controle e automação industrial</w:t>
      </w:r>
    </w:p>
    <w:p w14:paraId="2E491B77" w14:textId="77777777" w:rsidR="007358DF" w:rsidRPr="0088664A" w:rsidRDefault="007358D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5AF7CA5"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Uma das características mais importantes da utilização do tipo de proteção por segurança intrínseca reside no fato desta fornecer uma solução para uma grande quantidade de problemas relacionados com atmosferas explosivas, para equipamentos que requeiram baixa energia. Além disto, o tipo de proteção Ex “i” é o único que atende a este critério de possibilitar a instalação de sistemas baseados em baixos índices de energia em qualquer tipo de zona ou de grupo de área classificada, seja de gases ou poeiras. </w:t>
      </w:r>
    </w:p>
    <w:p w14:paraId="784DACAA"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6E5F715"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Os principais fatores nos quais se baseiam as vantagens da aplicação do tipo de proteção por segurança intrínseca em atmosferas explosivas são os seguintes:</w:t>
      </w:r>
    </w:p>
    <w:p w14:paraId="4F44CE40"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DA93D20" w14:textId="77777777" w:rsidR="006204DD" w:rsidRPr="0022440E" w:rsidRDefault="006204DD" w:rsidP="0022440E">
      <w:pPr>
        <w:pStyle w:val="PargrafodaLista"/>
        <w:numPr>
          <w:ilvl w:val="0"/>
          <w:numId w:val="28"/>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22440E">
        <w:rPr>
          <w:rFonts w:cstheme="minorHAnsi"/>
        </w:rPr>
        <w:t xml:space="preserve">O mesmo equipamento intrinsecamente seguro normalmente satisfaz tanto os requisitos para </w:t>
      </w:r>
      <w:r w:rsidRPr="0022440E">
        <w:rPr>
          <w:rFonts w:cstheme="minorHAnsi"/>
          <w:b/>
        </w:rPr>
        <w:t>gases</w:t>
      </w:r>
      <w:r w:rsidRPr="0022440E">
        <w:rPr>
          <w:rFonts w:cstheme="minorHAnsi"/>
        </w:rPr>
        <w:t xml:space="preserve"> inflamáveis como para </w:t>
      </w:r>
      <w:r w:rsidRPr="0022440E">
        <w:rPr>
          <w:rFonts w:cstheme="minorHAnsi"/>
          <w:b/>
        </w:rPr>
        <w:t>poeiras</w:t>
      </w:r>
      <w:r w:rsidRPr="0022440E">
        <w:rPr>
          <w:rFonts w:cstheme="minorHAnsi"/>
        </w:rPr>
        <w:t xml:space="preserve"> combustíveis;</w:t>
      </w:r>
    </w:p>
    <w:p w14:paraId="009AC03B" w14:textId="77777777" w:rsidR="006204DD" w:rsidRPr="0022440E" w:rsidRDefault="006204DD" w:rsidP="0022440E">
      <w:pPr>
        <w:pStyle w:val="PargrafodaLista"/>
        <w:numPr>
          <w:ilvl w:val="0"/>
          <w:numId w:val="28"/>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22440E">
        <w:rPr>
          <w:rFonts w:cstheme="minorHAnsi"/>
        </w:rPr>
        <w:t xml:space="preserve">A aplicação criteriosa das três categorias de proteção da segurança intrínseca (“ia”, “ib” e “ic”) assegura que sejam utilizados os equipamentos adequados para cada </w:t>
      </w:r>
      <w:r w:rsidRPr="0022440E">
        <w:rPr>
          <w:rFonts w:cstheme="minorHAnsi"/>
          <w:b/>
        </w:rPr>
        <w:t>nível de risco</w:t>
      </w:r>
      <w:r w:rsidRPr="0022440E">
        <w:rPr>
          <w:rFonts w:cstheme="minorHAnsi"/>
        </w:rPr>
        <w:t>. Neste caso, norm</w:t>
      </w:r>
      <w:r w:rsidR="00174E8F" w:rsidRPr="0022440E">
        <w:rPr>
          <w:rFonts w:cstheme="minorHAnsi"/>
        </w:rPr>
        <w:t>almente “ia” é aplicado em Zona </w:t>
      </w:r>
      <w:r w:rsidRPr="0022440E">
        <w:rPr>
          <w:rFonts w:cstheme="minorHAnsi"/>
        </w:rPr>
        <w:t>0 ou</w:t>
      </w:r>
      <w:r w:rsidR="00174E8F" w:rsidRPr="0022440E">
        <w:rPr>
          <w:rFonts w:cstheme="minorHAnsi"/>
        </w:rPr>
        <w:t xml:space="preserve"> </w:t>
      </w:r>
      <w:r w:rsidRPr="0022440E">
        <w:rPr>
          <w:rFonts w:cstheme="minorHAnsi"/>
        </w:rPr>
        <w:t xml:space="preserve">20, “ib” é aplicado em Zona 1 ou 21 e “ic” é aplicado em Zona 2 ou </w:t>
      </w:r>
      <w:smartTag w:uri="urn:schemas-microsoft-com:office:smarttags" w:element="metricconverter">
        <w:smartTagPr>
          <w:attr w:name="ProductID" w:val="22, a"/>
        </w:smartTagPr>
        <w:r w:rsidRPr="0022440E">
          <w:rPr>
            <w:rFonts w:cstheme="minorHAnsi"/>
          </w:rPr>
          <w:t>22, a</w:t>
        </w:r>
      </w:smartTag>
      <w:r w:rsidRPr="0022440E">
        <w:rPr>
          <w:rFonts w:cstheme="minorHAnsi"/>
        </w:rPr>
        <w:t xml:space="preserve"> menos que um estudo de risco adicional tiver definido um </w:t>
      </w:r>
      <w:r w:rsidRPr="0022440E">
        <w:rPr>
          <w:rFonts w:cstheme="minorHAnsi"/>
          <w:b/>
        </w:rPr>
        <w:t>EPL</w:t>
      </w:r>
      <w:r w:rsidRPr="0022440E">
        <w:rPr>
          <w:rFonts w:cstheme="minorHAnsi"/>
        </w:rPr>
        <w:t xml:space="preserve"> </w:t>
      </w:r>
      <w:r w:rsidR="00FC1930" w:rsidRPr="0022440E">
        <w:rPr>
          <w:rFonts w:cstheme="minorHAnsi"/>
        </w:rPr>
        <w:t>(</w:t>
      </w:r>
      <w:r w:rsidR="00FC1930" w:rsidRPr="0022440E">
        <w:rPr>
          <w:rFonts w:cstheme="minorHAnsi"/>
          <w:i/>
        </w:rPr>
        <w:t>Equipment Protection Level</w:t>
      </w:r>
      <w:r w:rsidR="00FC1930" w:rsidRPr="0022440E">
        <w:rPr>
          <w:rFonts w:cstheme="minorHAnsi"/>
        </w:rPr>
        <w:t xml:space="preserve">) </w:t>
      </w:r>
      <w:r w:rsidRPr="0022440E">
        <w:rPr>
          <w:rFonts w:cstheme="minorHAnsi"/>
        </w:rPr>
        <w:t>específico para as características de um projeto em particular;</w:t>
      </w:r>
    </w:p>
    <w:p w14:paraId="4BCD5579" w14:textId="77777777" w:rsidR="006204DD" w:rsidRPr="0022440E" w:rsidRDefault="006204DD" w:rsidP="0022440E">
      <w:pPr>
        <w:pStyle w:val="PargrafodaLista"/>
        <w:numPr>
          <w:ilvl w:val="0"/>
          <w:numId w:val="28"/>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22440E">
        <w:rPr>
          <w:rFonts w:cstheme="minorHAnsi"/>
        </w:rPr>
        <w:t xml:space="preserve">Pela sua </w:t>
      </w:r>
      <w:r w:rsidRPr="0022440E">
        <w:rPr>
          <w:rFonts w:cstheme="minorHAnsi"/>
          <w:b/>
        </w:rPr>
        <w:t>simplicidade</w:t>
      </w:r>
      <w:r w:rsidRPr="0022440E">
        <w:rPr>
          <w:rFonts w:cstheme="minorHAnsi"/>
        </w:rPr>
        <w:t xml:space="preserve"> de instalação e manutenção, esta técnica de proteção contribui para diminuição da possibilidade de introdução de </w:t>
      </w:r>
      <w:r w:rsidRPr="0022440E">
        <w:rPr>
          <w:rFonts w:cstheme="minorHAnsi"/>
          <w:b/>
        </w:rPr>
        <w:t>falhas</w:t>
      </w:r>
      <w:r w:rsidRPr="0022440E">
        <w:rPr>
          <w:rFonts w:cstheme="minorHAnsi"/>
        </w:rPr>
        <w:t xml:space="preserve"> </w:t>
      </w:r>
      <w:r w:rsidR="00FC1930" w:rsidRPr="0022440E">
        <w:rPr>
          <w:rFonts w:cstheme="minorHAnsi"/>
        </w:rPr>
        <w:t xml:space="preserve">de instalação </w:t>
      </w:r>
      <w:r w:rsidRPr="0022440E">
        <w:rPr>
          <w:rFonts w:cstheme="minorHAnsi"/>
        </w:rPr>
        <w:t xml:space="preserve">que podem gerar riscos na instalação, pelo pessoal envolvido em </w:t>
      </w:r>
      <w:r w:rsidRPr="0022440E">
        <w:rPr>
          <w:rFonts w:cstheme="minorHAnsi"/>
          <w:b/>
        </w:rPr>
        <w:t>montagem</w:t>
      </w:r>
      <w:r w:rsidRPr="0022440E">
        <w:rPr>
          <w:rFonts w:cstheme="minorHAnsi"/>
        </w:rPr>
        <w:t xml:space="preserve">, </w:t>
      </w:r>
      <w:r w:rsidRPr="0022440E">
        <w:rPr>
          <w:rFonts w:cstheme="minorHAnsi"/>
          <w:b/>
        </w:rPr>
        <w:t>manutenção</w:t>
      </w:r>
      <w:r w:rsidRPr="0022440E">
        <w:rPr>
          <w:rFonts w:cstheme="minorHAnsi"/>
        </w:rPr>
        <w:t xml:space="preserve"> e </w:t>
      </w:r>
      <w:r w:rsidRPr="0022440E">
        <w:rPr>
          <w:rFonts w:cstheme="minorHAnsi"/>
          <w:b/>
        </w:rPr>
        <w:t>reparos</w:t>
      </w:r>
      <w:r w:rsidRPr="0022440E">
        <w:rPr>
          <w:rFonts w:cstheme="minorHAnsi"/>
        </w:rPr>
        <w:t>.</w:t>
      </w:r>
    </w:p>
    <w:p w14:paraId="1F54EC16"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7F1C0DE"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Estes fatos, combinados com sua utilização </w:t>
      </w:r>
      <w:r w:rsidRPr="00FC1930">
        <w:rPr>
          <w:rFonts w:cstheme="minorHAnsi"/>
          <w:b/>
        </w:rPr>
        <w:t>flexível</w:t>
      </w:r>
      <w:r w:rsidRPr="0088664A">
        <w:rPr>
          <w:rFonts w:cstheme="minorHAnsi"/>
        </w:rPr>
        <w:t xml:space="preserve">, utilizando equipamentos convencionais de mercado e a sua capacidade de trabalho </w:t>
      </w:r>
      <w:r w:rsidRPr="00FC1930">
        <w:rPr>
          <w:rFonts w:cstheme="minorHAnsi"/>
          <w:b/>
        </w:rPr>
        <w:t>a quente</w:t>
      </w:r>
      <w:r w:rsidRPr="0088664A">
        <w:rPr>
          <w:rFonts w:cstheme="minorHAnsi"/>
        </w:rPr>
        <w:t xml:space="preserve"> tende a tornar a proteção Ex “i” como a opção </w:t>
      </w:r>
      <w:r w:rsidRPr="00FC1930">
        <w:rPr>
          <w:rFonts w:cstheme="minorHAnsi"/>
          <w:b/>
        </w:rPr>
        <w:t>básica</w:t>
      </w:r>
      <w:r w:rsidRPr="0088664A">
        <w:rPr>
          <w:rFonts w:cstheme="minorHAnsi"/>
        </w:rPr>
        <w:t xml:space="preserve"> para sistemas industriais de instrumentação e automação em atmosferas explosivas para as indústrias do setor químico, petroquímico, de óleo e gás, farmacêutico, alcooleiro e de alimentos, entre outros.</w:t>
      </w:r>
    </w:p>
    <w:p w14:paraId="3080B2F5" w14:textId="2B5C44C2" w:rsidR="006204DD"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74E8F" w:rsidRPr="0088664A" w14:paraId="3758363C" w14:textId="77777777" w:rsidTr="00174E8F">
        <w:tc>
          <w:tcPr>
            <w:tcW w:w="4814" w:type="dxa"/>
            <w:vAlign w:val="center"/>
          </w:tcPr>
          <w:p w14:paraId="545E1E38" w14:textId="77777777" w:rsidR="00174E8F" w:rsidRPr="0088664A" w:rsidRDefault="00174E8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88664A">
              <w:rPr>
                <w:rFonts w:cstheme="minorHAnsi"/>
                <w:noProof/>
              </w:rPr>
              <w:drawing>
                <wp:inline distT="0" distB="0" distL="0" distR="0" wp14:anchorId="7C6C50B4" wp14:editId="3438D2FF">
                  <wp:extent cx="1630854" cy="1644449"/>
                  <wp:effectExtent l="0" t="0" r="7620" b="0"/>
                  <wp:docPr id="10"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1092FA3-6DB8-4D45-91CB-785C2AA99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1092FA3-6DB8-4D45-91CB-785C2AA99FEF}"/>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648439" cy="1662181"/>
                          </a:xfrm>
                          <a:prstGeom prst="rect">
                            <a:avLst/>
                          </a:prstGeom>
                        </pic:spPr>
                      </pic:pic>
                    </a:graphicData>
                  </a:graphic>
                </wp:inline>
              </w:drawing>
            </w:r>
          </w:p>
        </w:tc>
        <w:tc>
          <w:tcPr>
            <w:tcW w:w="4814" w:type="dxa"/>
            <w:vAlign w:val="center"/>
          </w:tcPr>
          <w:p w14:paraId="39BA338B" w14:textId="77777777" w:rsidR="00174E8F" w:rsidRPr="0088664A" w:rsidRDefault="00174E8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88664A">
              <w:rPr>
                <w:rFonts w:cstheme="minorHAnsi"/>
                <w:noProof/>
              </w:rPr>
              <w:drawing>
                <wp:inline distT="0" distB="0" distL="0" distR="0" wp14:anchorId="3C642473" wp14:editId="293B0A64">
                  <wp:extent cx="2892425" cy="1452717"/>
                  <wp:effectExtent l="0" t="0" r="3175" b="0"/>
                  <wp:docPr id="11"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4D0F6C2-8307-4891-BD0E-8FE776215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4D0F6C2-8307-4891-BD0E-8FE776215D31}"/>
                              </a:ext>
                            </a:extLst>
                          </pic:cNvPr>
                          <pic:cNvPicPr>
                            <a:picLocks noChangeAspect="1"/>
                          </pic:cNvPicPr>
                        </pic:nvPicPr>
                        <pic:blipFill>
                          <a:blip r:embed="rId18" cstate="screen">
                            <a:duotone>
                              <a:prstClr val="black"/>
                              <a:schemeClr val="accent6">
                                <a:tint val="45000"/>
                                <a:satMod val="400000"/>
                              </a:schemeClr>
                            </a:duotone>
                            <a:extLst>
                              <a:ext uri="{28A0092B-C50C-407E-A947-70E740481C1C}">
                                <a14:useLocalDpi xmlns:a14="http://schemas.microsoft.com/office/drawing/2010/main"/>
                              </a:ext>
                            </a:extLst>
                          </a:blip>
                          <a:stretch>
                            <a:fillRect/>
                          </a:stretch>
                        </pic:blipFill>
                        <pic:spPr>
                          <a:xfrm>
                            <a:off x="0" y="0"/>
                            <a:ext cx="2921334" cy="1467237"/>
                          </a:xfrm>
                          <a:prstGeom prst="rect">
                            <a:avLst/>
                          </a:prstGeom>
                        </pic:spPr>
                      </pic:pic>
                    </a:graphicData>
                  </a:graphic>
                </wp:inline>
              </w:drawing>
            </w:r>
          </w:p>
        </w:tc>
      </w:tr>
    </w:tbl>
    <w:p w14:paraId="4E25745D" w14:textId="77777777" w:rsidR="00174E8F" w:rsidRPr="0088664A" w:rsidRDefault="00174E8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p w14:paraId="0DEDE217" w14:textId="7BE5282F" w:rsidR="00142E72" w:rsidRPr="005B7103" w:rsidRDefault="00142E72"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5B7103">
        <w:rPr>
          <w:rFonts w:cstheme="minorHAnsi"/>
          <w:i/>
          <w:sz w:val="18"/>
        </w:rPr>
        <w:t xml:space="preserve">Exemplo de monitor de válvula com dupla proteção “Ex”: </w:t>
      </w:r>
      <w:r w:rsidR="003A4766" w:rsidRPr="005B7103">
        <w:rPr>
          <w:rFonts w:cstheme="minorHAnsi"/>
          <w:i/>
          <w:sz w:val="18"/>
        </w:rPr>
        <w:t xml:space="preserve">Entrada </w:t>
      </w:r>
      <w:r w:rsidRPr="005B7103">
        <w:rPr>
          <w:rFonts w:cstheme="minorHAnsi"/>
          <w:i/>
          <w:sz w:val="18"/>
        </w:rPr>
        <w:t>de rede Ex “em” e saída para solenoide [Ex “i”]</w:t>
      </w:r>
    </w:p>
    <w:p w14:paraId="02178C57" w14:textId="77777777" w:rsidR="00174E8F" w:rsidRPr="0088664A" w:rsidRDefault="00174E8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74E8F" w:rsidRPr="0088664A" w14:paraId="00A4B370" w14:textId="77777777" w:rsidTr="00F21D54">
        <w:tc>
          <w:tcPr>
            <w:tcW w:w="4814" w:type="dxa"/>
            <w:vAlign w:val="center"/>
          </w:tcPr>
          <w:p w14:paraId="5C6FA093" w14:textId="77777777" w:rsidR="00174E8F" w:rsidRPr="0088664A" w:rsidRDefault="00174E8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88664A">
              <w:rPr>
                <w:rFonts w:cstheme="minorHAnsi"/>
                <w:noProof/>
              </w:rPr>
              <w:drawing>
                <wp:inline distT="0" distB="0" distL="0" distR="0" wp14:anchorId="22DCF321" wp14:editId="1E1C132D">
                  <wp:extent cx="2411452" cy="2302042"/>
                  <wp:effectExtent l="0" t="0" r="8255" b="0"/>
                  <wp:docPr id="7"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DBB077C-991D-49DE-A72E-DF45CF7E9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DBB077C-991D-49DE-A72E-DF45CF7E9102}"/>
                              </a:ext>
                            </a:extLst>
                          </pic:cNvPr>
                          <pic:cNvPicPr>
                            <a:picLocks noChangeAspect="1"/>
                          </pic:cNvPicPr>
                        </pic:nvPicPr>
                        <pic:blipFill rotWithShape="1">
                          <a:blip r:embed="rId19" cstate="screen">
                            <a:duotone>
                              <a:prstClr val="black"/>
                              <a:schemeClr val="accent6">
                                <a:tint val="45000"/>
                                <a:satMod val="400000"/>
                              </a:schemeClr>
                            </a:duotone>
                            <a:extLst>
                              <a:ext uri="{28A0092B-C50C-407E-A947-70E740481C1C}">
                                <a14:useLocalDpi xmlns:a14="http://schemas.microsoft.com/office/drawing/2010/main"/>
                              </a:ext>
                            </a:extLst>
                          </a:blip>
                          <a:srcRect/>
                          <a:stretch/>
                        </pic:blipFill>
                        <pic:spPr>
                          <a:xfrm>
                            <a:off x="0" y="0"/>
                            <a:ext cx="2433352" cy="2322949"/>
                          </a:xfrm>
                          <a:prstGeom prst="rect">
                            <a:avLst/>
                          </a:prstGeom>
                        </pic:spPr>
                      </pic:pic>
                    </a:graphicData>
                  </a:graphic>
                </wp:inline>
              </w:drawing>
            </w:r>
          </w:p>
        </w:tc>
        <w:tc>
          <w:tcPr>
            <w:tcW w:w="4814" w:type="dxa"/>
            <w:vAlign w:val="center"/>
          </w:tcPr>
          <w:p w14:paraId="416FFF5F" w14:textId="77777777" w:rsidR="00174E8F" w:rsidRPr="0088664A" w:rsidRDefault="00174E8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88664A">
              <w:rPr>
                <w:rFonts w:cstheme="minorHAnsi"/>
                <w:noProof/>
              </w:rPr>
              <w:drawing>
                <wp:inline distT="0" distB="0" distL="0" distR="0" wp14:anchorId="602B863F" wp14:editId="47D6B0F6">
                  <wp:extent cx="2143760" cy="2224896"/>
                  <wp:effectExtent l="0" t="0" r="8890" b="4445"/>
                  <wp:docPr id="9"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8DD4CD2-F976-49DE-9655-0C2DCFE87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8DD4CD2-F976-49DE-9655-0C2DCFE8767C}"/>
                              </a:ext>
                            </a:extLst>
                          </pic:cNvPr>
                          <pic:cNvPicPr>
                            <a:picLocks noChangeAspect="1"/>
                          </pic:cNvPicPr>
                        </pic:nvPicPr>
                        <pic:blipFill>
                          <a:blip r:embed="rId20" cstate="screen">
                            <a:duotone>
                              <a:prstClr val="black"/>
                              <a:schemeClr val="accent6">
                                <a:tint val="45000"/>
                                <a:satMod val="400000"/>
                              </a:schemeClr>
                            </a:duotone>
                            <a:extLst>
                              <a:ext uri="{28A0092B-C50C-407E-A947-70E740481C1C}">
                                <a14:useLocalDpi xmlns:a14="http://schemas.microsoft.com/office/drawing/2010/main"/>
                              </a:ext>
                            </a:extLst>
                          </a:blip>
                          <a:stretch>
                            <a:fillRect/>
                          </a:stretch>
                        </pic:blipFill>
                        <pic:spPr>
                          <a:xfrm>
                            <a:off x="0" y="0"/>
                            <a:ext cx="2185377" cy="2268089"/>
                          </a:xfrm>
                          <a:prstGeom prst="rect">
                            <a:avLst/>
                          </a:prstGeom>
                        </pic:spPr>
                      </pic:pic>
                    </a:graphicData>
                  </a:graphic>
                </wp:inline>
              </w:drawing>
            </w:r>
          </w:p>
        </w:tc>
      </w:tr>
    </w:tbl>
    <w:p w14:paraId="49846D95" w14:textId="77777777" w:rsidR="007358DF" w:rsidRPr="0088664A" w:rsidRDefault="00142E72"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88664A">
        <w:rPr>
          <w:rFonts w:cstheme="minorHAnsi"/>
          <w:noProof/>
        </w:rPr>
        <w:drawing>
          <wp:anchor distT="0" distB="0" distL="114300" distR="114300" simplePos="0" relativeHeight="251662336" behindDoc="0" locked="0" layoutInCell="1" allowOverlap="1" wp14:anchorId="62D5C105" wp14:editId="3D5ACCE9">
            <wp:simplePos x="0" y="0"/>
            <wp:positionH relativeFrom="column">
              <wp:posOffset>7193280</wp:posOffset>
            </wp:positionH>
            <wp:positionV relativeFrom="paragraph">
              <wp:posOffset>1069975</wp:posOffset>
            </wp:positionV>
            <wp:extent cx="2770909" cy="3519054"/>
            <wp:effectExtent l="0" t="0" r="0" b="5715"/>
            <wp:wrapNone/>
            <wp:docPr id="8"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8DD4CD2-F976-49DE-9655-0C2DCFE87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8DD4CD2-F976-49DE-9655-0C2DCFE8767C}"/>
                        </a:ext>
                      </a:extLst>
                    </pic:cNvPr>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2770909" cy="3519054"/>
                    </a:xfrm>
                    <a:prstGeom prst="rect">
                      <a:avLst/>
                    </a:prstGeom>
                  </pic:spPr>
                </pic:pic>
              </a:graphicData>
            </a:graphic>
          </wp:anchor>
        </w:drawing>
      </w:r>
    </w:p>
    <w:p w14:paraId="786CD92C" w14:textId="77777777" w:rsidR="00142E72" w:rsidRPr="005B7103" w:rsidRDefault="00142E72"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5B7103">
        <w:rPr>
          <w:rFonts w:cstheme="minorHAnsi"/>
          <w:i/>
          <w:sz w:val="18"/>
        </w:rPr>
        <w:t>Exemplo de sensor de proximidade tipo ranhura intrinsecamente seguro. Marcação Ex ia IIC T6 Ga IP65</w:t>
      </w:r>
    </w:p>
    <w:p w14:paraId="02D475CF" w14:textId="4FE971B3" w:rsidR="00142E72" w:rsidRDefault="00142E72"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9BBCE8C" w14:textId="77777777" w:rsidR="00C22912" w:rsidRPr="0088664A" w:rsidRDefault="00C22912"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2"/>
        <w:gridCol w:w="5736"/>
      </w:tblGrid>
      <w:tr w:rsidR="00174E8F" w:rsidRPr="0088664A" w14:paraId="29FB9B06" w14:textId="77777777" w:rsidTr="00174E8F">
        <w:tc>
          <w:tcPr>
            <w:tcW w:w="3902" w:type="dxa"/>
            <w:vAlign w:val="center"/>
          </w:tcPr>
          <w:p w14:paraId="53B208BB" w14:textId="77777777" w:rsidR="00174E8F" w:rsidRPr="0088664A" w:rsidRDefault="00A83F01"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88664A">
              <w:rPr>
                <w:rFonts w:cstheme="minorHAnsi"/>
                <w:noProof/>
              </w:rPr>
              <w:drawing>
                <wp:inline distT="0" distB="0" distL="0" distR="0" wp14:anchorId="5F73E1C1" wp14:editId="22563080">
                  <wp:extent cx="1881787" cy="2309495"/>
                  <wp:effectExtent l="0" t="0" r="0" b="0"/>
                  <wp:docPr id="18"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F6029D9-1C31-4958-99DA-BBFADA765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F6029D9-1C31-4958-99DA-BBFADA7650D5}"/>
                              </a:ext>
                            </a:extLst>
                          </pic:cNvPr>
                          <pic:cNvPicPr>
                            <a:picLocks noChangeAspect="1"/>
                          </pic:cNvPicPr>
                        </pic:nvPicPr>
                        <pic:blipFill rotWithShape="1">
                          <a:blip r:embed="rId22" cstate="screen">
                            <a:duotone>
                              <a:prstClr val="black"/>
                              <a:schemeClr val="accent6">
                                <a:tint val="45000"/>
                                <a:satMod val="400000"/>
                              </a:schemeClr>
                            </a:duotone>
                            <a:extLst>
                              <a:ext uri="{28A0092B-C50C-407E-A947-70E740481C1C}">
                                <a14:useLocalDpi xmlns:a14="http://schemas.microsoft.com/office/drawing/2010/main"/>
                              </a:ext>
                            </a:extLst>
                          </a:blip>
                          <a:srcRect/>
                          <a:stretch/>
                        </pic:blipFill>
                        <pic:spPr>
                          <a:xfrm>
                            <a:off x="0" y="0"/>
                            <a:ext cx="1908623" cy="2342431"/>
                          </a:xfrm>
                          <a:prstGeom prst="rect">
                            <a:avLst/>
                          </a:prstGeom>
                        </pic:spPr>
                      </pic:pic>
                    </a:graphicData>
                  </a:graphic>
                </wp:inline>
              </w:drawing>
            </w:r>
          </w:p>
        </w:tc>
        <w:tc>
          <w:tcPr>
            <w:tcW w:w="5736" w:type="dxa"/>
            <w:vAlign w:val="center"/>
          </w:tcPr>
          <w:p w14:paraId="7005CFA3" w14:textId="77777777" w:rsidR="00174E8F" w:rsidRPr="0088664A" w:rsidRDefault="00A83F01"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A83F01">
              <w:rPr>
                <w:rFonts w:cstheme="minorHAnsi"/>
                <w:noProof/>
              </w:rPr>
              <w:drawing>
                <wp:inline distT="0" distB="0" distL="0" distR="0" wp14:anchorId="0FBC6261" wp14:editId="0B4A99BF">
                  <wp:extent cx="3426439" cy="1496961"/>
                  <wp:effectExtent l="0" t="0" r="3175" b="8255"/>
                  <wp:docPr id="627713" name="Imagem 484365" descr="serigrafia KD-21T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13" name="Imagem 484365" descr="serigrafia KD-21TA .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473841" cy="1517670"/>
                          </a:xfrm>
                          <a:prstGeom prst="rect">
                            <a:avLst/>
                          </a:prstGeom>
                          <a:noFill/>
                          <a:extLst/>
                        </pic:spPr>
                      </pic:pic>
                    </a:graphicData>
                  </a:graphic>
                </wp:inline>
              </w:drawing>
            </w:r>
          </w:p>
        </w:tc>
      </w:tr>
    </w:tbl>
    <w:p w14:paraId="347703EE" w14:textId="77777777" w:rsidR="00EA12FB" w:rsidRDefault="00EA12FB"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4DE97A1" w14:textId="77777777" w:rsidR="007102A5" w:rsidRPr="005B7103" w:rsidRDefault="007102A5" w:rsidP="007102A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5B7103">
        <w:rPr>
          <w:rFonts w:cstheme="minorHAnsi"/>
          <w:i/>
          <w:sz w:val="18"/>
        </w:rPr>
        <w:t xml:space="preserve">Exemplo de equipamento intrinsecamente seguro </w:t>
      </w:r>
      <w:r w:rsidRPr="007102A5">
        <w:rPr>
          <w:rFonts w:cstheme="minorHAnsi"/>
          <w:b/>
          <w:i/>
          <w:sz w:val="18"/>
        </w:rPr>
        <w:t>associado</w:t>
      </w:r>
      <w:r w:rsidRPr="005B7103">
        <w:rPr>
          <w:rFonts w:cstheme="minorHAnsi"/>
          <w:i/>
          <w:sz w:val="18"/>
        </w:rPr>
        <w:t xml:space="preserve"> (barreira de segurança do tipo isolador galvânico), com respectivos parâmetros de entidade.</w:t>
      </w:r>
      <w:r w:rsidRPr="007102A5">
        <w:rPr>
          <w:rFonts w:cstheme="minorHAnsi"/>
          <w:i/>
          <w:sz w:val="18"/>
        </w:rPr>
        <w:t xml:space="preserve"> </w:t>
      </w:r>
      <w:r w:rsidRPr="005B7103">
        <w:rPr>
          <w:rFonts w:cstheme="minorHAnsi"/>
          <w:i/>
          <w:sz w:val="18"/>
        </w:rPr>
        <w:t>Marcaç</w:t>
      </w:r>
      <w:r>
        <w:rPr>
          <w:rFonts w:cstheme="minorHAnsi"/>
          <w:i/>
          <w:sz w:val="18"/>
        </w:rPr>
        <w:t>ões [</w:t>
      </w:r>
      <w:r w:rsidRPr="005B7103">
        <w:rPr>
          <w:rFonts w:cstheme="minorHAnsi"/>
          <w:i/>
          <w:sz w:val="18"/>
        </w:rPr>
        <w:t>Ex ia Ga</w:t>
      </w:r>
      <w:r>
        <w:rPr>
          <w:rFonts w:cstheme="minorHAnsi"/>
          <w:i/>
          <w:sz w:val="18"/>
        </w:rPr>
        <w:t>] IIC/IIB/IIA e [</w:t>
      </w:r>
      <w:r w:rsidRPr="005B7103">
        <w:rPr>
          <w:rFonts w:cstheme="minorHAnsi"/>
          <w:i/>
          <w:sz w:val="18"/>
        </w:rPr>
        <w:t>Ex ia G</w:t>
      </w:r>
      <w:r>
        <w:rPr>
          <w:rFonts w:cstheme="minorHAnsi"/>
          <w:i/>
          <w:sz w:val="18"/>
        </w:rPr>
        <w:t>b] IIC/IIB/IIA</w:t>
      </w:r>
    </w:p>
    <w:p w14:paraId="7C4DF610" w14:textId="590B575A" w:rsidR="0022440E" w:rsidRDefault="0022440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9EB2102"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C5E127C" w14:textId="77777777" w:rsidR="00950125" w:rsidRPr="006A7498" w:rsidRDefault="00950125" w:rsidP="00950125">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Requisitos de projeto e de instalação de equipamentos e sistemas intrinsecamente seguros</w:t>
      </w:r>
    </w:p>
    <w:p w14:paraId="7FF7E0D5"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37937A6"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 instalação de equipamentos e sistemas intrinsecamente seguros deve atender os requisitos indicados nas Normas ABNT NBR IEC 60079 – </w:t>
      </w:r>
      <w:r w:rsidRPr="0022440E">
        <w:rPr>
          <w:rFonts w:cstheme="minorHAnsi"/>
          <w:b/>
        </w:rPr>
        <w:t>Parte 14</w:t>
      </w:r>
      <w:r w:rsidRPr="0088664A">
        <w:rPr>
          <w:rFonts w:cstheme="minorHAnsi"/>
        </w:rPr>
        <w:t xml:space="preserve"> </w:t>
      </w:r>
      <w:r>
        <w:rPr>
          <w:rFonts w:cstheme="minorHAnsi"/>
        </w:rPr>
        <w:t xml:space="preserve">(Projeto e montagem “Ex”) </w:t>
      </w:r>
      <w:r w:rsidRPr="0088664A">
        <w:rPr>
          <w:rFonts w:cstheme="minorHAnsi"/>
        </w:rPr>
        <w:t xml:space="preserve">e </w:t>
      </w:r>
      <w:r w:rsidRPr="0022440E">
        <w:rPr>
          <w:rFonts w:cstheme="minorHAnsi"/>
          <w:b/>
        </w:rPr>
        <w:t>Parte 25</w:t>
      </w:r>
      <w:r>
        <w:rPr>
          <w:rFonts w:cstheme="minorHAnsi"/>
        </w:rPr>
        <w:t xml:space="preserve"> (Sistemas intrinsecamente seguros)</w:t>
      </w:r>
      <w:r w:rsidRPr="0088664A">
        <w:rPr>
          <w:rFonts w:cstheme="minorHAnsi"/>
        </w:rPr>
        <w:t>.</w:t>
      </w:r>
    </w:p>
    <w:p w14:paraId="3C58C747"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4E1BED1"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Quando os circuitos intrinsecamente seguros são aterrados, isto deve ser feito em um único ponto, através da conexão do circuito Ex “i” ao condutor equipotencial. Nestes casos, o condutor de equipotencialização necessita ser encaminhado através de toda a área por onde o circuito estiver instalado. Para circuitos intrinsecamente seguros instalados </w:t>
      </w:r>
      <w:r w:rsidRPr="008C6C0C">
        <w:rPr>
          <w:rFonts w:cstheme="minorHAnsi"/>
          <w:b/>
        </w:rPr>
        <w:t>em Zona 0/20</w:t>
      </w:r>
      <w:r w:rsidRPr="0088664A">
        <w:rPr>
          <w:rFonts w:cstheme="minorHAnsi"/>
        </w:rPr>
        <w:t xml:space="preserve">, o ponto de conexão com o condutor de equipotencialização deve no interior ou na fronteira da área de </w:t>
      </w:r>
      <w:r w:rsidRPr="008C6C0C">
        <w:rPr>
          <w:rFonts w:cstheme="minorHAnsi"/>
          <w:b/>
        </w:rPr>
        <w:t>Zona 0/20</w:t>
      </w:r>
      <w:r w:rsidRPr="0088664A">
        <w:rPr>
          <w:rFonts w:cstheme="minorHAnsi"/>
        </w:rPr>
        <w:t>.</w:t>
      </w:r>
    </w:p>
    <w:p w14:paraId="53623177"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9107E64"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Quando diversos circuitos intrinsecamente seguros forem conectados em conjunto, o atendimento dos requisitos de segurança e dos parâmetros de interligação deve ser verificado por cálculos, de acordo com os requisitos indicados na </w:t>
      </w:r>
      <w:r w:rsidRPr="008C6C0C">
        <w:rPr>
          <w:rFonts w:cstheme="minorHAnsi"/>
          <w:b/>
        </w:rPr>
        <w:t>ABNT NBR IEC 60079-25</w:t>
      </w:r>
      <w:r w:rsidRPr="0088664A">
        <w:rPr>
          <w:rFonts w:cstheme="minorHAnsi"/>
        </w:rPr>
        <w:t>.</w:t>
      </w:r>
    </w:p>
    <w:p w14:paraId="08CDAC35"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55413B1"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Os cabos ou condutores isolados de circuitos intrinsecamente seguros e não intrinsecamente seguros não devem ser encaminhados em conjunto em um mesmo cabo, multicabo, eletroduto ou sistema de bandejamento, de forma a evitar que falhas no isolamento dos cabos ou que a indução devida a campos eletromagnéticos possam gerar o acúmulo de energia em circuitos intrinsecamente seguros acima dos níveis seguros permitidos para cada tipo de gás ou poeira. </w:t>
      </w:r>
    </w:p>
    <w:p w14:paraId="15844E1C"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FB555BA" w14:textId="44EFA7A0"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lastRenderedPageBreak/>
        <w:t xml:space="preserve">A Figura a seguir ilustra um exemplo de </w:t>
      </w:r>
      <w:r w:rsidRPr="0088664A">
        <w:rPr>
          <w:rFonts w:cstheme="minorHAnsi"/>
          <w:b/>
        </w:rPr>
        <w:t>segregação</w:t>
      </w:r>
      <w:r w:rsidRPr="0088664A">
        <w:rPr>
          <w:rFonts w:cstheme="minorHAnsi"/>
        </w:rPr>
        <w:t xml:space="preserve"> de circuitos intrinsecamente seguros e não intrinsecamente seguros, em sistemas de bandejamento diferentes. No caso de sistemas de bandejamento ou eletrodutos metálicos, estes devem ser aterrados, de forma a evitar a circulação de correntes induzidas parasitas entre os dutos de cabos.</w:t>
      </w:r>
    </w:p>
    <w:p w14:paraId="3AA673F9"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EBBE22A" w14:textId="77777777" w:rsidR="00950125"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88664A">
        <w:rPr>
          <w:rFonts w:cstheme="minorHAnsi"/>
          <w:noProof/>
        </w:rPr>
        <w:drawing>
          <wp:inline distT="0" distB="0" distL="0" distR="0" wp14:anchorId="62369977" wp14:editId="6975869F">
            <wp:extent cx="4318822" cy="2040373"/>
            <wp:effectExtent l="0" t="0" r="5715" b="0"/>
            <wp:docPr id="12" name="Imagem 12" descr="D:\IECEx\Livro Ex 2018\Fotos e figuras a serem colocadas no Livro Ex\Sense\Separação dos Cabos Re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CEx\Livro Ex 2018\Fotos e figuras a serem colocadas no Livro Ex\Sense\Separação dos Cabos Rev. 1.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435858" cy="2095665"/>
                    </a:xfrm>
                    <a:prstGeom prst="rect">
                      <a:avLst/>
                    </a:prstGeom>
                    <a:noFill/>
                    <a:ln>
                      <a:noFill/>
                    </a:ln>
                  </pic:spPr>
                </pic:pic>
              </a:graphicData>
            </a:graphic>
          </wp:inline>
        </w:drawing>
      </w:r>
    </w:p>
    <w:p w14:paraId="28E01C68" w14:textId="77777777" w:rsidR="00950125"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p w14:paraId="38AE8FA2" w14:textId="5CBA8350" w:rsidR="00950125" w:rsidRPr="005B0DD3"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5B0DD3">
        <w:rPr>
          <w:rFonts w:cstheme="minorHAnsi"/>
          <w:i/>
          <w:sz w:val="18"/>
        </w:rPr>
        <w:t xml:space="preserve">Exemplo de separação física entre circuitos </w:t>
      </w:r>
      <w:r w:rsidRPr="005B0DD3">
        <w:rPr>
          <w:rFonts w:cstheme="minorHAnsi"/>
          <w:b/>
          <w:i/>
          <w:sz w:val="18"/>
        </w:rPr>
        <w:t>intrinsecamente</w:t>
      </w:r>
      <w:r w:rsidRPr="005B0DD3">
        <w:rPr>
          <w:rFonts w:cstheme="minorHAnsi"/>
          <w:i/>
          <w:sz w:val="18"/>
        </w:rPr>
        <w:t xml:space="preserve"> seguros (à esquerda) e circuitos </w:t>
      </w:r>
      <w:r w:rsidRPr="005B0DD3">
        <w:rPr>
          <w:rFonts w:cstheme="minorHAnsi"/>
          <w:b/>
          <w:i/>
          <w:sz w:val="18"/>
        </w:rPr>
        <w:t>não</w:t>
      </w:r>
      <w:r w:rsidRPr="005B0DD3">
        <w:rPr>
          <w:rFonts w:cstheme="minorHAnsi"/>
          <w:i/>
          <w:sz w:val="18"/>
        </w:rPr>
        <w:t xml:space="preserve"> intrinsecamente seguros (à direita), por meio </w:t>
      </w:r>
      <w:r w:rsidR="00BE734B">
        <w:rPr>
          <w:rFonts w:cstheme="minorHAnsi"/>
          <w:i/>
          <w:sz w:val="18"/>
        </w:rPr>
        <w:t xml:space="preserve">sistemas de </w:t>
      </w:r>
      <w:r w:rsidRPr="005B0DD3">
        <w:rPr>
          <w:rFonts w:cstheme="minorHAnsi"/>
          <w:i/>
          <w:sz w:val="18"/>
        </w:rPr>
        <w:t>bandeja</w:t>
      </w:r>
      <w:r w:rsidR="00BE734B">
        <w:rPr>
          <w:rFonts w:cstheme="minorHAnsi"/>
          <w:i/>
          <w:sz w:val="18"/>
        </w:rPr>
        <w:t>mento</w:t>
      </w:r>
      <w:r w:rsidRPr="005B0DD3">
        <w:rPr>
          <w:rFonts w:cstheme="minorHAnsi"/>
          <w:i/>
          <w:sz w:val="18"/>
        </w:rPr>
        <w:t xml:space="preserve"> distint</w:t>
      </w:r>
      <w:r w:rsidR="00BE734B">
        <w:rPr>
          <w:rFonts w:cstheme="minorHAnsi"/>
          <w:i/>
          <w:sz w:val="18"/>
        </w:rPr>
        <w:t>o</w:t>
      </w:r>
      <w:r w:rsidRPr="005B0DD3">
        <w:rPr>
          <w:rFonts w:cstheme="minorHAnsi"/>
          <w:i/>
          <w:sz w:val="18"/>
        </w:rPr>
        <w:t>s</w:t>
      </w:r>
    </w:p>
    <w:p w14:paraId="1BC90921"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A6FF136" w14:textId="5B930FA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Da mesma forma, de acordo com os requisitos indicados na ABNT NBR IEC 60079 - Parte 14 e </w:t>
      </w:r>
      <w:r w:rsidR="008C6C0C">
        <w:rPr>
          <w:rFonts w:cstheme="minorHAnsi"/>
        </w:rPr>
        <w:t xml:space="preserve">Parte </w:t>
      </w:r>
      <w:r w:rsidRPr="0088664A">
        <w:rPr>
          <w:rFonts w:cstheme="minorHAnsi"/>
        </w:rPr>
        <w:t xml:space="preserve">25 devem ser asseguradas que quando cabos de circuitos intrinsecamente seguros e não seguros forem instalados, não haja </w:t>
      </w:r>
      <w:r w:rsidRPr="008C6C0C">
        <w:rPr>
          <w:rFonts w:cstheme="minorHAnsi"/>
          <w:b/>
        </w:rPr>
        <w:t>interferência eletromagnéticas</w:t>
      </w:r>
      <w:r w:rsidRPr="0088664A">
        <w:rPr>
          <w:rFonts w:cstheme="minorHAnsi"/>
        </w:rPr>
        <w:t xml:space="preserve"> devido a correntes de fuga ou campos magnéticos. </w:t>
      </w:r>
    </w:p>
    <w:p w14:paraId="03855D44"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E57B978"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Os requisitos essenciais de projeto de um sistema intrinsecamente seguros podem ser resumidos nos seguintes:</w:t>
      </w:r>
    </w:p>
    <w:p w14:paraId="7672FA2C"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3F45210" w14:textId="77777777" w:rsidR="00950125" w:rsidRPr="00E5508E" w:rsidRDefault="00950125" w:rsidP="00950125">
      <w:pPr>
        <w:pStyle w:val="PargrafodaLista"/>
        <w:numPr>
          <w:ilvl w:val="0"/>
          <w:numId w:val="27"/>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E5508E">
        <w:rPr>
          <w:rFonts w:cstheme="minorHAnsi"/>
        </w:rPr>
        <w:t>O sistema deve ser projetado de maneira a assegurar a sua operação da forma requerida pelo processo, de modo seguro;</w:t>
      </w:r>
    </w:p>
    <w:p w14:paraId="3EFCEED4" w14:textId="77777777" w:rsidR="00950125" w:rsidRPr="00E5508E" w:rsidRDefault="00950125" w:rsidP="00950125">
      <w:pPr>
        <w:pStyle w:val="PargrafodaLista"/>
        <w:numPr>
          <w:ilvl w:val="0"/>
          <w:numId w:val="27"/>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E5508E">
        <w:rPr>
          <w:rFonts w:cstheme="minorHAnsi"/>
        </w:rPr>
        <w:t>Os equipamentos e componentes utilizados no sistema devem ser certificados ou serem componentes “simples”;</w:t>
      </w:r>
    </w:p>
    <w:p w14:paraId="08630BA4" w14:textId="77777777" w:rsidR="00950125" w:rsidRPr="00E5508E" w:rsidRDefault="00950125" w:rsidP="00950125">
      <w:pPr>
        <w:pStyle w:val="PargrafodaLista"/>
        <w:numPr>
          <w:ilvl w:val="0"/>
          <w:numId w:val="27"/>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E5508E">
        <w:rPr>
          <w:rFonts w:cstheme="minorHAnsi"/>
        </w:rPr>
        <w:t>A compatibilidade dos parâmetros de entidade dos equipamentos Ex “i” e dos dispositivos associados [Ex “i”] deve ter sido determinada, verificada e documentada;</w:t>
      </w:r>
    </w:p>
    <w:p w14:paraId="5AC25723" w14:textId="77777777" w:rsidR="00950125" w:rsidRPr="00E5508E" w:rsidRDefault="00950125" w:rsidP="00950125">
      <w:pPr>
        <w:pStyle w:val="PargrafodaLista"/>
        <w:numPr>
          <w:ilvl w:val="0"/>
          <w:numId w:val="27"/>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E5508E">
        <w:rPr>
          <w:rFonts w:cstheme="minorHAnsi"/>
        </w:rPr>
        <w:t>A categoria de proteção do sistema deve ser estabelecida de acordo com os requisitos da classificação de áreas ou com os requisitos do EPL requerido para o local da instalação;</w:t>
      </w:r>
    </w:p>
    <w:p w14:paraId="6C95BB45" w14:textId="77777777" w:rsidR="00950125" w:rsidRPr="00E5508E" w:rsidRDefault="00950125" w:rsidP="00950125">
      <w:pPr>
        <w:pStyle w:val="PargrafodaLista"/>
        <w:numPr>
          <w:ilvl w:val="0"/>
          <w:numId w:val="27"/>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E5508E">
        <w:rPr>
          <w:rFonts w:cstheme="minorHAnsi"/>
        </w:rPr>
        <w:t>A classe de temperatura e a temperatura ambiente de cada equipamento ou componente utilizado no sistema deve ser estabelecida no projeto;</w:t>
      </w:r>
    </w:p>
    <w:p w14:paraId="473E32F0" w14:textId="77777777" w:rsidR="00950125" w:rsidRPr="00E5508E" w:rsidRDefault="00950125" w:rsidP="00950125">
      <w:pPr>
        <w:pStyle w:val="PargrafodaLista"/>
        <w:numPr>
          <w:ilvl w:val="0"/>
          <w:numId w:val="27"/>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E5508E">
        <w:rPr>
          <w:rFonts w:cstheme="minorHAnsi"/>
        </w:rPr>
        <w:t>Os requisitos dos cabos dos circuitos de interligação entre instrumentos intrinsecamente seguros e dispositivos associados devem ser estabelecidos no projeto.</w:t>
      </w:r>
    </w:p>
    <w:p w14:paraId="3834F82E" w14:textId="77777777" w:rsidR="00950125" w:rsidRPr="0088664A" w:rsidRDefault="00950125" w:rsidP="00950125">
      <w:pPr>
        <w:tabs>
          <w:tab w:val="clear" w:pos="119"/>
          <w:tab w:val="clear" w:pos="238"/>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321D221"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3871887" w14:textId="77777777" w:rsidR="00950125" w:rsidRPr="006A7498" w:rsidRDefault="00950125" w:rsidP="00950125">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Requisitos de sistemas de redes de comunicação dados de campo intrinsecamente seguros baseados em FISCO</w:t>
      </w:r>
    </w:p>
    <w:p w14:paraId="10C4B309"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5151864"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Os recentes desenvolvimentos em eletrônica e equipamentos digitais tornam cada vez mais baixos os níveis de corrente, tensão, potência e energia requeridos para a operação dos equipamentos e instrumentos aplicáveis aos sistemas de instrumentação de processo industrial.</w:t>
      </w:r>
    </w:p>
    <w:p w14:paraId="7555900A"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E83B60F" w14:textId="10E1B9B5"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Desta forma, a recente elevação dos casos de desenvolvimento e aplicação das redes de comunicação de dados de campo (</w:t>
      </w:r>
      <w:r w:rsidRPr="00C22912">
        <w:rPr>
          <w:rFonts w:cstheme="minorHAnsi"/>
          <w:i/>
        </w:rPr>
        <w:t>Fieldbus</w:t>
      </w:r>
      <w:r w:rsidRPr="0088664A">
        <w:rPr>
          <w:rFonts w:cstheme="minorHAnsi"/>
        </w:rPr>
        <w:t xml:space="preserve">) em áreas classificadas representa um fundamental fator motivador para o desenvolvimento e novas edições da Norma </w:t>
      </w:r>
      <w:r w:rsidR="00C22912" w:rsidRPr="00C22912">
        <w:rPr>
          <w:rFonts w:cstheme="minorHAnsi"/>
          <w:b/>
        </w:rPr>
        <w:t xml:space="preserve">ABNT </w:t>
      </w:r>
      <w:r w:rsidRPr="00C22912">
        <w:rPr>
          <w:rFonts w:cstheme="minorHAnsi"/>
          <w:b/>
        </w:rPr>
        <w:t>NBR IEC 60079-11</w:t>
      </w:r>
      <w:r w:rsidRPr="0088664A">
        <w:rPr>
          <w:rFonts w:cstheme="minorHAnsi"/>
        </w:rPr>
        <w:t>, incorporando estudos e práticas de sucesso apresentadas por diversos fabricantes e usuários em diversos países do mundo.</w:t>
      </w:r>
    </w:p>
    <w:p w14:paraId="4DEC42FA" w14:textId="77777777" w:rsidR="00950125"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BD24F74"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A categoria de proteção (“ia”, “ib” ou “ic”) de um sistema FISCO é determinada pelo menor nível de proteção dos dispositivos de campo interligados ao circuito da rede de dados de campo (</w:t>
      </w:r>
      <w:r w:rsidRPr="0088664A">
        <w:rPr>
          <w:rFonts w:cstheme="minorHAnsi"/>
          <w:i/>
        </w:rPr>
        <w:t>Fieldbus</w:t>
      </w:r>
      <w:r w:rsidRPr="0088664A">
        <w:rPr>
          <w:rFonts w:cstheme="minorHAnsi"/>
        </w:rPr>
        <w:t>).</w:t>
      </w:r>
    </w:p>
    <w:p w14:paraId="4E3EFECA"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1C169B7"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O número de dispositivos de campo intrinsecamente seguros que podem ser conectados a uma derivação é restrito por condições operacionais e pelos requisitos indicados na ABNT NBR IEC 60079-</w:t>
      </w:r>
      <w:r>
        <w:rPr>
          <w:rFonts w:cstheme="minorHAnsi"/>
        </w:rPr>
        <w:t>11</w:t>
      </w:r>
      <w:r w:rsidRPr="0088664A">
        <w:rPr>
          <w:rFonts w:cstheme="minorHAnsi"/>
        </w:rPr>
        <w:t>, que restringe em 32 o número máximo de dispositivos em um sistema FISCO.</w:t>
      </w:r>
    </w:p>
    <w:p w14:paraId="5401859E" w14:textId="77777777" w:rsidR="00950125" w:rsidRPr="0088664A"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96FED11" w14:textId="31F265D2" w:rsidR="00950125" w:rsidRDefault="000E46C8"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544A4D">
        <w:rPr>
          <w:rFonts w:cstheme="minorHAnsi"/>
        </w:rPr>
        <w:object w:dxaOrig="8895" w:dyaOrig="4865" w14:anchorId="6384EA6E">
          <v:shape id="_x0000_i1026" type="#_x0000_t75" style="width:427.25pt;height:235pt" o:ole="">
            <v:imagedata r:id="rId25" o:title=""/>
          </v:shape>
          <o:OLEObject Type="Embed" ProgID="Word.Picture.8" ShapeID="_x0000_i1026" DrawAspect="Content" ObjectID="_1613811859" r:id="rId26"/>
        </w:object>
      </w:r>
    </w:p>
    <w:p w14:paraId="35E689E1" w14:textId="77777777" w:rsidR="00950125"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p w14:paraId="68445B5F" w14:textId="37EF3329" w:rsidR="00950125" w:rsidRDefault="00950125" w:rsidP="0095012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950125">
        <w:rPr>
          <w:rFonts w:cstheme="minorHAnsi"/>
          <w:b/>
          <w:i/>
          <w:sz w:val="18"/>
        </w:rPr>
        <w:t>FISCO</w:t>
      </w:r>
      <w:r w:rsidRPr="00950125">
        <w:rPr>
          <w:rFonts w:cstheme="minorHAnsi"/>
          <w:i/>
          <w:sz w:val="18"/>
        </w:rPr>
        <w:t xml:space="preserve"> – Fieldbus Intrinsecamente Seguro (Norma Técnica Brasileira adotada </w:t>
      </w:r>
      <w:r w:rsidRPr="00950125">
        <w:rPr>
          <w:rFonts w:cstheme="minorHAnsi"/>
          <w:b/>
          <w:i/>
          <w:sz w:val="18"/>
        </w:rPr>
        <w:t>ABNT NBR IEC 60079-11</w:t>
      </w:r>
      <w:r w:rsidRPr="00950125">
        <w:rPr>
          <w:rFonts w:cstheme="minorHAnsi"/>
          <w:i/>
          <w:sz w:val="18"/>
        </w:rPr>
        <w:t>)</w:t>
      </w:r>
    </w:p>
    <w:p w14:paraId="6E8A82F5" w14:textId="13A04EC6" w:rsidR="00666841" w:rsidRDefault="00666841" w:rsidP="00666841">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F940519" w14:textId="2FB0212B" w:rsidR="00EE1BA4" w:rsidRPr="006A7498" w:rsidRDefault="00EE1BA4" w:rsidP="00EE1BA4">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 xml:space="preserve">Exemplos de instalação </w:t>
      </w:r>
      <w:r w:rsidR="00FD3FDF" w:rsidRPr="006A7498">
        <w:rPr>
          <w:rFonts w:cstheme="minorHAnsi"/>
          <w:b/>
          <w:bCs/>
          <w:sz w:val="24"/>
        </w:rPr>
        <w:t xml:space="preserve">no Brasil </w:t>
      </w:r>
      <w:r w:rsidRPr="006A7498">
        <w:rPr>
          <w:rFonts w:cstheme="minorHAnsi"/>
          <w:b/>
          <w:bCs/>
          <w:sz w:val="24"/>
        </w:rPr>
        <w:t xml:space="preserve">de equipamentos </w:t>
      </w:r>
      <w:r w:rsidR="00FD3FDF" w:rsidRPr="006A7498">
        <w:rPr>
          <w:rFonts w:cstheme="minorHAnsi"/>
          <w:b/>
          <w:bCs/>
          <w:sz w:val="24"/>
        </w:rPr>
        <w:t xml:space="preserve">intrinsecamente seguros Ex “i” e equipamentos </w:t>
      </w:r>
      <w:r w:rsidRPr="006A7498">
        <w:rPr>
          <w:rFonts w:cstheme="minorHAnsi"/>
          <w:b/>
          <w:bCs/>
          <w:sz w:val="24"/>
        </w:rPr>
        <w:t>associados [Ex “i”] – Evolução ao longo das décadas</w:t>
      </w:r>
    </w:p>
    <w:p w14:paraId="3C9459F6" w14:textId="77777777" w:rsidR="00EE1BA4" w:rsidRPr="0088664A" w:rsidRDefault="00EE1BA4" w:rsidP="00EE1BA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8C2220E" w14:textId="3C5C165E" w:rsidR="00950125" w:rsidRDefault="00EE1BA4"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Pr>
          <w:rFonts w:cstheme="minorHAnsi"/>
        </w:rPr>
        <w:t xml:space="preserve">São indicados a seguir exemplos de instalação de equipamentos </w:t>
      </w:r>
      <w:r w:rsidR="00FD3FDF">
        <w:rPr>
          <w:rFonts w:cstheme="minorHAnsi"/>
        </w:rPr>
        <w:t xml:space="preserve">intrinsecamente seguros </w:t>
      </w:r>
      <w:r w:rsidR="00FD3FDF" w:rsidRPr="00FD3FDF">
        <w:rPr>
          <w:rFonts w:cstheme="minorHAnsi"/>
          <w:b/>
        </w:rPr>
        <w:t>Ex “i”</w:t>
      </w:r>
      <w:r w:rsidR="00FD3FDF">
        <w:rPr>
          <w:rFonts w:cstheme="minorHAnsi"/>
        </w:rPr>
        <w:t xml:space="preserve"> e de equipamentos intrinsecamente </w:t>
      </w:r>
      <w:r>
        <w:rPr>
          <w:rFonts w:cstheme="minorHAnsi"/>
        </w:rPr>
        <w:t xml:space="preserve">associados </w:t>
      </w:r>
      <w:r w:rsidRPr="00FD3FDF">
        <w:rPr>
          <w:rFonts w:cstheme="minorHAnsi"/>
          <w:b/>
        </w:rPr>
        <w:t>[Ex “i</w:t>
      </w:r>
      <w:r w:rsidR="00950125" w:rsidRPr="00FD3FDF">
        <w:rPr>
          <w:rFonts w:cstheme="minorHAnsi"/>
          <w:b/>
        </w:rPr>
        <w:t>]</w:t>
      </w:r>
      <w:r w:rsidR="00950125">
        <w:rPr>
          <w:rFonts w:cstheme="minorHAnsi"/>
        </w:rPr>
        <w:t xml:space="preserve">, em diversas plantas da indústria do </w:t>
      </w:r>
      <w:r w:rsidR="00950125" w:rsidRPr="00950125">
        <w:rPr>
          <w:rFonts w:cstheme="minorHAnsi"/>
          <w:b/>
        </w:rPr>
        <w:t>petróleo</w:t>
      </w:r>
      <w:r w:rsidR="00950125">
        <w:rPr>
          <w:rFonts w:cstheme="minorHAnsi"/>
        </w:rPr>
        <w:t xml:space="preserve"> e </w:t>
      </w:r>
      <w:r w:rsidR="00950125" w:rsidRPr="00950125">
        <w:rPr>
          <w:rFonts w:cstheme="minorHAnsi"/>
          <w:b/>
        </w:rPr>
        <w:t>petroquímica</w:t>
      </w:r>
      <w:r w:rsidR="00950125">
        <w:rPr>
          <w:rFonts w:cstheme="minorHAnsi"/>
        </w:rPr>
        <w:t xml:space="preserve"> no </w:t>
      </w:r>
      <w:r w:rsidR="00950125" w:rsidRPr="00950125">
        <w:rPr>
          <w:rFonts w:cstheme="minorHAnsi"/>
          <w:b/>
        </w:rPr>
        <w:t>Brasil</w:t>
      </w:r>
      <w:r w:rsidR="00950125">
        <w:rPr>
          <w:rFonts w:cstheme="minorHAnsi"/>
        </w:rPr>
        <w:t xml:space="preserve">, ao longo das décadas de </w:t>
      </w:r>
      <w:r w:rsidR="00950125" w:rsidRPr="00950125">
        <w:rPr>
          <w:rFonts w:cstheme="minorHAnsi"/>
          <w:b/>
        </w:rPr>
        <w:t>1970, 1980, 1990, 2000 e 2010</w:t>
      </w:r>
      <w:r w:rsidR="00950125">
        <w:rPr>
          <w:rFonts w:cstheme="minorHAnsi"/>
        </w:rPr>
        <w:t xml:space="preserve">. </w:t>
      </w:r>
    </w:p>
    <w:p w14:paraId="54AFE435" w14:textId="77777777" w:rsidR="00950125" w:rsidRDefault="00950125"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C905227" w14:textId="7AD29A98" w:rsidR="00EE1BA4" w:rsidRDefault="00950125"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Pr>
          <w:rFonts w:cstheme="minorHAnsi"/>
        </w:rPr>
        <w:t xml:space="preserve">São apresentados exemplos de instalação de barreiras de segurança do tipo </w:t>
      </w:r>
      <w:r w:rsidRPr="00950125">
        <w:rPr>
          <w:rFonts w:cstheme="minorHAnsi"/>
          <w:b/>
        </w:rPr>
        <w:t>diodo zener</w:t>
      </w:r>
      <w:r>
        <w:rPr>
          <w:rFonts w:cstheme="minorHAnsi"/>
        </w:rPr>
        <w:t xml:space="preserve">, barreiras de segurança do tipo </w:t>
      </w:r>
      <w:r w:rsidRPr="00950125">
        <w:rPr>
          <w:rFonts w:cstheme="minorHAnsi"/>
          <w:b/>
        </w:rPr>
        <w:t>isolador galvânico</w:t>
      </w:r>
      <w:r>
        <w:rPr>
          <w:rFonts w:cstheme="minorHAnsi"/>
        </w:rPr>
        <w:t xml:space="preserve">, fontes de alimentação </w:t>
      </w:r>
      <w:r w:rsidRPr="00950125">
        <w:rPr>
          <w:rFonts w:cstheme="minorHAnsi"/>
          <w:b/>
        </w:rPr>
        <w:t>FISCO</w:t>
      </w:r>
      <w:r>
        <w:rPr>
          <w:rFonts w:cstheme="minorHAnsi"/>
        </w:rPr>
        <w:t xml:space="preserve"> e barreiras de segurança </w:t>
      </w:r>
      <w:r w:rsidRPr="00950125">
        <w:rPr>
          <w:rFonts w:cstheme="minorHAnsi"/>
          <w:b/>
        </w:rPr>
        <w:t>com tipos de proteção “Ex”</w:t>
      </w:r>
      <w:r>
        <w:rPr>
          <w:rFonts w:cstheme="minorHAnsi"/>
        </w:rPr>
        <w:t xml:space="preserve"> adequadas para instalação em atmosferas explosivas contendo gases inflamáveis e poeiras combustíveis.</w:t>
      </w:r>
    </w:p>
    <w:p w14:paraId="7C81B526" w14:textId="170F5D6E" w:rsidR="00950125" w:rsidRDefault="00950125"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740"/>
      </w:tblGrid>
      <w:tr w:rsidR="00BE734B" w14:paraId="13FAC01F" w14:textId="77777777" w:rsidTr="00374EB9">
        <w:tc>
          <w:tcPr>
            <w:tcW w:w="4888" w:type="dxa"/>
          </w:tcPr>
          <w:p w14:paraId="2FDDEB85" w14:textId="3FD97F25" w:rsidR="00BE734B" w:rsidRDefault="00BE734B" w:rsidP="00374EB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drawing>
                <wp:inline distT="0" distB="0" distL="0" distR="0" wp14:anchorId="15EF8895" wp14:editId="7B74B42F">
                  <wp:extent cx="3184525" cy="2553976"/>
                  <wp:effectExtent l="10478" t="27622" r="26352" b="26353"/>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16200000">
                            <a:off x="0" y="0"/>
                            <a:ext cx="3223337" cy="2585103"/>
                          </a:xfrm>
                          <a:prstGeom prst="rect">
                            <a:avLst/>
                          </a:prstGeom>
                          <a:noFill/>
                          <a:ln>
                            <a:solidFill>
                              <a:schemeClr val="tx1"/>
                            </a:solidFill>
                          </a:ln>
                        </pic:spPr>
                      </pic:pic>
                    </a:graphicData>
                  </a:graphic>
                </wp:inline>
              </w:drawing>
            </w:r>
          </w:p>
        </w:tc>
        <w:tc>
          <w:tcPr>
            <w:tcW w:w="4740" w:type="dxa"/>
          </w:tcPr>
          <w:p w14:paraId="6FA1244E" w14:textId="06C2CA38" w:rsidR="00BE734B" w:rsidRDefault="00BE734B" w:rsidP="00374EB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drawing>
                <wp:inline distT="0" distB="0" distL="0" distR="0" wp14:anchorId="79D4704D" wp14:editId="58DF58FF">
                  <wp:extent cx="3187020" cy="2610925"/>
                  <wp:effectExtent l="2222"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screen">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a:ext>
                            </a:extLst>
                          </a:blip>
                          <a:srcRect/>
                          <a:stretch/>
                        </pic:blipFill>
                        <pic:spPr bwMode="auto">
                          <a:xfrm rot="5400000">
                            <a:off x="0" y="0"/>
                            <a:ext cx="3202594" cy="26236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734B" w14:paraId="56C66655" w14:textId="77777777" w:rsidTr="00374EB9">
        <w:tc>
          <w:tcPr>
            <w:tcW w:w="4888" w:type="dxa"/>
          </w:tcPr>
          <w:p w14:paraId="15A91B70" w14:textId="0CB3FAE2" w:rsidR="00BE734B" w:rsidRDefault="00BE734B" w:rsidP="00BE734B">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5B0DD3">
              <w:rPr>
                <w:rFonts w:cstheme="minorHAnsi"/>
                <w:i/>
                <w:sz w:val="18"/>
              </w:rPr>
              <w:t xml:space="preserve">Exemplo de </w:t>
            </w:r>
            <w:r>
              <w:rPr>
                <w:rFonts w:cstheme="minorHAnsi"/>
                <w:i/>
                <w:sz w:val="18"/>
              </w:rPr>
              <w:t xml:space="preserve">instalação de equipamentos </w:t>
            </w:r>
            <w:r w:rsidRPr="00EC6BA3">
              <w:rPr>
                <w:rFonts w:cstheme="minorHAnsi"/>
                <w:b/>
                <w:i/>
                <w:sz w:val="18"/>
              </w:rPr>
              <w:t>associados</w:t>
            </w:r>
            <w:r>
              <w:rPr>
                <w:rFonts w:cstheme="minorHAnsi"/>
                <w:i/>
                <w:sz w:val="18"/>
              </w:rPr>
              <w:t xml:space="preserve"> intrinsecamente seguros [</w:t>
            </w:r>
            <w:r w:rsidRPr="00EC6BA3">
              <w:rPr>
                <w:rFonts w:cstheme="minorHAnsi"/>
                <w:b/>
                <w:i/>
                <w:sz w:val="18"/>
              </w:rPr>
              <w:t>Ex “i”</w:t>
            </w:r>
            <w:r>
              <w:rPr>
                <w:rFonts w:cstheme="minorHAnsi"/>
                <w:i/>
                <w:sz w:val="18"/>
              </w:rPr>
              <w:t>], do tipo “</w:t>
            </w:r>
            <w:r w:rsidRPr="00EC6BA3">
              <w:rPr>
                <w:rFonts w:cstheme="minorHAnsi"/>
                <w:b/>
                <w:i/>
                <w:sz w:val="18"/>
              </w:rPr>
              <w:t>barreira zener</w:t>
            </w:r>
            <w:r>
              <w:rPr>
                <w:rFonts w:cstheme="minorHAnsi"/>
                <w:i/>
                <w:sz w:val="18"/>
              </w:rPr>
              <w:t xml:space="preserve">”, </w:t>
            </w:r>
            <w:r w:rsidRPr="00EC6BA3">
              <w:rPr>
                <w:rFonts w:cstheme="minorHAnsi"/>
                <w:i/>
                <w:sz w:val="18"/>
                <w:u w:val="single"/>
              </w:rPr>
              <w:t>sem</w:t>
            </w:r>
            <w:r>
              <w:rPr>
                <w:rFonts w:cstheme="minorHAnsi"/>
                <w:i/>
                <w:sz w:val="18"/>
              </w:rPr>
              <w:t xml:space="preserve"> isolação galvânica, montados no interior de painel de rearranjo, em área não classificada (Planta petroquímica no Brasil na </w:t>
            </w:r>
            <w:r>
              <w:rPr>
                <w:rFonts w:cstheme="minorHAnsi"/>
                <w:i/>
                <w:sz w:val="18"/>
              </w:rPr>
              <w:lastRenderedPageBreak/>
              <w:t xml:space="preserve">década de </w:t>
            </w:r>
            <w:r w:rsidRPr="00EC6BA3">
              <w:rPr>
                <w:rFonts w:cstheme="minorHAnsi"/>
                <w:b/>
                <w:i/>
                <w:sz w:val="18"/>
              </w:rPr>
              <w:t>1970</w:t>
            </w:r>
            <w:r>
              <w:rPr>
                <w:rFonts w:cstheme="minorHAnsi"/>
                <w:i/>
                <w:sz w:val="18"/>
              </w:rPr>
              <w:t>)</w:t>
            </w:r>
          </w:p>
        </w:tc>
        <w:tc>
          <w:tcPr>
            <w:tcW w:w="4740" w:type="dxa"/>
          </w:tcPr>
          <w:p w14:paraId="138E57AE" w14:textId="17C8C82C" w:rsidR="00BE734B" w:rsidRDefault="00BE734B" w:rsidP="00BE734B">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5B0DD3">
              <w:rPr>
                <w:rFonts w:cstheme="minorHAnsi"/>
                <w:i/>
                <w:sz w:val="18"/>
              </w:rPr>
              <w:lastRenderedPageBreak/>
              <w:t xml:space="preserve">Exemplo de </w:t>
            </w:r>
            <w:r>
              <w:rPr>
                <w:rFonts w:cstheme="minorHAnsi"/>
                <w:i/>
                <w:sz w:val="18"/>
              </w:rPr>
              <w:t xml:space="preserve">instalação de equipamentos </w:t>
            </w:r>
            <w:r w:rsidRPr="00EC6BA3">
              <w:rPr>
                <w:rFonts w:cstheme="minorHAnsi"/>
                <w:b/>
                <w:i/>
                <w:sz w:val="18"/>
              </w:rPr>
              <w:t>associados</w:t>
            </w:r>
            <w:r>
              <w:rPr>
                <w:rFonts w:cstheme="minorHAnsi"/>
                <w:i/>
                <w:sz w:val="18"/>
              </w:rPr>
              <w:t xml:space="preserve"> intrinsecamente seguros </w:t>
            </w:r>
            <w:r w:rsidRPr="00EC6BA3">
              <w:rPr>
                <w:rFonts w:cstheme="minorHAnsi"/>
                <w:b/>
                <w:i/>
                <w:sz w:val="18"/>
              </w:rPr>
              <w:t>[Ex “i”]</w:t>
            </w:r>
            <w:r>
              <w:rPr>
                <w:rFonts w:cstheme="minorHAnsi"/>
                <w:i/>
                <w:sz w:val="18"/>
              </w:rPr>
              <w:t xml:space="preserve">, </w:t>
            </w:r>
            <w:r w:rsidRPr="00EC6BA3">
              <w:rPr>
                <w:rFonts w:cstheme="minorHAnsi"/>
                <w:i/>
                <w:sz w:val="18"/>
                <w:u w:val="single"/>
              </w:rPr>
              <w:t>com</w:t>
            </w:r>
            <w:r>
              <w:rPr>
                <w:rFonts w:cstheme="minorHAnsi"/>
                <w:i/>
                <w:sz w:val="18"/>
              </w:rPr>
              <w:t xml:space="preserve"> isolação galvânica, montados no interior de painel de rearranjo de PLC, em área não classificada (Planta petroquímica no Brasil na década de </w:t>
            </w:r>
            <w:r w:rsidRPr="00EC6BA3">
              <w:rPr>
                <w:rFonts w:cstheme="minorHAnsi"/>
                <w:b/>
                <w:i/>
                <w:sz w:val="18"/>
              </w:rPr>
              <w:lastRenderedPageBreak/>
              <w:t>19</w:t>
            </w:r>
            <w:r>
              <w:rPr>
                <w:rFonts w:cstheme="minorHAnsi"/>
                <w:b/>
                <w:i/>
                <w:sz w:val="18"/>
              </w:rPr>
              <w:t>8</w:t>
            </w:r>
            <w:r w:rsidRPr="00EC6BA3">
              <w:rPr>
                <w:rFonts w:cstheme="minorHAnsi"/>
                <w:b/>
                <w:i/>
                <w:sz w:val="18"/>
              </w:rPr>
              <w:t>0</w:t>
            </w:r>
            <w:r>
              <w:rPr>
                <w:rFonts w:cstheme="minorHAnsi"/>
                <w:i/>
                <w:sz w:val="18"/>
              </w:rPr>
              <w:t>)</w:t>
            </w:r>
          </w:p>
        </w:tc>
      </w:tr>
    </w:tbl>
    <w:p w14:paraId="6025FA31" w14:textId="2BFC018B" w:rsidR="00BE734B" w:rsidRDefault="00BE734B"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5CF7B10" w14:textId="5BCD15B6" w:rsidR="003A4766" w:rsidRDefault="003A476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Pr>
          <w:noProof/>
        </w:rPr>
        <w:drawing>
          <wp:inline distT="0" distB="0" distL="0" distR="0" wp14:anchorId="0689F816" wp14:editId="3B7F056A">
            <wp:extent cx="5802630" cy="2228850"/>
            <wp:effectExtent l="19050" t="19050" r="26670" b="190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849551" cy="22468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62E3A0" w14:textId="56729E87" w:rsidR="003A4766" w:rsidRPr="005B0DD3" w:rsidRDefault="003A4766" w:rsidP="00BE734B">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spacing w:before="120"/>
        <w:jc w:val="center"/>
        <w:rPr>
          <w:rFonts w:cstheme="minorHAnsi"/>
          <w:i/>
          <w:sz w:val="18"/>
        </w:rPr>
      </w:pPr>
      <w:r w:rsidRPr="005B0DD3">
        <w:rPr>
          <w:rFonts w:cstheme="minorHAnsi"/>
          <w:i/>
          <w:sz w:val="18"/>
        </w:rPr>
        <w:t xml:space="preserve">Exemplo de </w:t>
      </w:r>
      <w:r>
        <w:rPr>
          <w:rFonts w:cstheme="minorHAnsi"/>
          <w:i/>
          <w:sz w:val="18"/>
        </w:rPr>
        <w:t xml:space="preserve">instalação de equipamentos </w:t>
      </w:r>
      <w:r w:rsidRPr="00EC6BA3">
        <w:rPr>
          <w:rFonts w:cstheme="minorHAnsi"/>
          <w:b/>
          <w:i/>
          <w:sz w:val="18"/>
        </w:rPr>
        <w:t>associados</w:t>
      </w:r>
      <w:r>
        <w:rPr>
          <w:rFonts w:cstheme="minorHAnsi"/>
          <w:i/>
          <w:sz w:val="18"/>
        </w:rPr>
        <w:t xml:space="preserve"> intrinsecamente seguros </w:t>
      </w:r>
      <w:r w:rsidRPr="00EC6BA3">
        <w:rPr>
          <w:rFonts w:cstheme="minorHAnsi"/>
          <w:b/>
          <w:i/>
          <w:sz w:val="18"/>
        </w:rPr>
        <w:t>[Ex “i”]</w:t>
      </w:r>
      <w:r>
        <w:rPr>
          <w:rFonts w:cstheme="minorHAnsi"/>
          <w:i/>
          <w:sz w:val="18"/>
        </w:rPr>
        <w:t xml:space="preserve">, </w:t>
      </w:r>
      <w:r w:rsidRPr="00EC6BA3">
        <w:rPr>
          <w:rFonts w:cstheme="minorHAnsi"/>
          <w:i/>
          <w:sz w:val="18"/>
          <w:u w:val="single"/>
        </w:rPr>
        <w:t>com</w:t>
      </w:r>
      <w:r>
        <w:rPr>
          <w:rFonts w:cstheme="minorHAnsi"/>
          <w:i/>
          <w:sz w:val="18"/>
        </w:rPr>
        <w:t xml:space="preserve"> isolação galvânica, montados no interior de painel de rearranjo</w:t>
      </w:r>
      <w:r w:rsidR="007E1FE9">
        <w:rPr>
          <w:rFonts w:cstheme="minorHAnsi"/>
          <w:i/>
          <w:sz w:val="18"/>
        </w:rPr>
        <w:t xml:space="preserve"> de PLC</w:t>
      </w:r>
      <w:r>
        <w:rPr>
          <w:rFonts w:cstheme="minorHAnsi"/>
          <w:i/>
          <w:sz w:val="18"/>
        </w:rPr>
        <w:t>, em área não classificada (</w:t>
      </w:r>
      <w:r w:rsidR="001F1C34">
        <w:rPr>
          <w:rFonts w:cstheme="minorHAnsi"/>
          <w:i/>
          <w:sz w:val="18"/>
        </w:rPr>
        <w:t>P</w:t>
      </w:r>
      <w:r w:rsidR="00EC6BA3">
        <w:rPr>
          <w:rFonts w:cstheme="minorHAnsi"/>
          <w:i/>
          <w:sz w:val="18"/>
        </w:rPr>
        <w:t>lanta petroquímica no Brasil na d</w:t>
      </w:r>
      <w:r>
        <w:rPr>
          <w:rFonts w:cstheme="minorHAnsi"/>
          <w:i/>
          <w:sz w:val="18"/>
        </w:rPr>
        <w:t xml:space="preserve">écada de </w:t>
      </w:r>
      <w:r w:rsidRPr="00EC6BA3">
        <w:rPr>
          <w:rFonts w:cstheme="minorHAnsi"/>
          <w:b/>
          <w:i/>
          <w:sz w:val="18"/>
        </w:rPr>
        <w:t>19</w:t>
      </w:r>
      <w:r w:rsidR="00170688">
        <w:rPr>
          <w:rFonts w:cstheme="minorHAnsi"/>
          <w:b/>
          <w:i/>
          <w:sz w:val="18"/>
        </w:rPr>
        <w:t>8</w:t>
      </w:r>
      <w:r w:rsidRPr="00EC6BA3">
        <w:rPr>
          <w:rFonts w:cstheme="minorHAnsi"/>
          <w:b/>
          <w:i/>
          <w:sz w:val="18"/>
        </w:rPr>
        <w:t>0</w:t>
      </w:r>
      <w:r w:rsidR="00EC6BA3">
        <w:rPr>
          <w:rFonts w:cstheme="minorHAnsi"/>
          <w:i/>
          <w:sz w:val="18"/>
        </w:rPr>
        <w:t>)</w:t>
      </w:r>
    </w:p>
    <w:p w14:paraId="58C0056E" w14:textId="286B2CC7" w:rsidR="00EE1BA4" w:rsidRDefault="00EE1BA4"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38"/>
      </w:tblGrid>
      <w:tr w:rsidR="00AF6EC9" w14:paraId="3151F451" w14:textId="77777777" w:rsidTr="00374EB9">
        <w:tc>
          <w:tcPr>
            <w:tcW w:w="4390" w:type="dxa"/>
            <w:vAlign w:val="center"/>
          </w:tcPr>
          <w:p w14:paraId="48AAF82E" w14:textId="42CA01CC" w:rsidR="00AF6EC9" w:rsidRDefault="00AF6EC9" w:rsidP="00AF6EC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3A5B74">
              <w:rPr>
                <w:rFonts w:cstheme="minorHAnsi"/>
                <w:noProof/>
              </w:rPr>
              <w:drawing>
                <wp:inline distT="0" distB="0" distL="0" distR="0" wp14:anchorId="5AB3B5D7" wp14:editId="2B20CF86">
                  <wp:extent cx="2531644" cy="1616710"/>
                  <wp:effectExtent l="19050" t="19050" r="21590" b="21590"/>
                  <wp:docPr id="55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2" name="Picture 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19736" cy="1672965"/>
                          </a:xfrm>
                          <a:prstGeom prst="rect">
                            <a:avLst/>
                          </a:prstGeom>
                          <a:noFill/>
                          <a:ln>
                            <a:solidFill>
                              <a:schemeClr val="tx1"/>
                            </a:solidFill>
                          </a:ln>
                          <a:extLst/>
                        </pic:spPr>
                      </pic:pic>
                    </a:graphicData>
                  </a:graphic>
                </wp:inline>
              </w:drawing>
            </w:r>
          </w:p>
        </w:tc>
        <w:tc>
          <w:tcPr>
            <w:tcW w:w="5238" w:type="dxa"/>
            <w:vAlign w:val="center"/>
          </w:tcPr>
          <w:p w14:paraId="61FFE71B" w14:textId="2D9FEA96" w:rsidR="00AF6EC9" w:rsidRDefault="00AF6EC9" w:rsidP="00AF6EC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drawing>
                <wp:inline distT="0" distB="0" distL="0" distR="0" wp14:anchorId="6AF73C41" wp14:editId="48D3B544">
                  <wp:extent cx="3125907" cy="1593850"/>
                  <wp:effectExtent l="0" t="0" r="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10800000">
                            <a:off x="0" y="0"/>
                            <a:ext cx="3172871" cy="1617796"/>
                          </a:xfrm>
                          <a:prstGeom prst="rect">
                            <a:avLst/>
                          </a:prstGeom>
                          <a:noFill/>
                          <a:ln>
                            <a:noFill/>
                          </a:ln>
                        </pic:spPr>
                      </pic:pic>
                    </a:graphicData>
                  </a:graphic>
                </wp:inline>
              </w:drawing>
            </w:r>
          </w:p>
        </w:tc>
      </w:tr>
      <w:tr w:rsidR="00AF6EC9" w14:paraId="1A7F1F5D" w14:textId="77777777" w:rsidTr="00374EB9">
        <w:tc>
          <w:tcPr>
            <w:tcW w:w="4390" w:type="dxa"/>
          </w:tcPr>
          <w:p w14:paraId="3016846B" w14:textId="07ACCCD5" w:rsidR="00AF6EC9" w:rsidRDefault="00AF6EC9" w:rsidP="00AF6EC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spacing w:before="120"/>
              <w:jc w:val="center"/>
              <w:rPr>
                <w:rFonts w:cstheme="minorHAnsi"/>
              </w:rPr>
            </w:pPr>
            <w:r w:rsidRPr="008B68AD">
              <w:rPr>
                <w:rFonts w:cstheme="minorHAnsi"/>
                <w:i/>
                <w:sz w:val="18"/>
              </w:rPr>
              <w:t xml:space="preserve">Exemplo de instalação de </w:t>
            </w:r>
            <w:r>
              <w:rPr>
                <w:rFonts w:cstheme="minorHAnsi"/>
                <w:i/>
                <w:sz w:val="18"/>
              </w:rPr>
              <w:t xml:space="preserve">transmissores com tipo de proteção Ex “i” instalados </w:t>
            </w:r>
            <w:r w:rsidRPr="008B68AD">
              <w:rPr>
                <w:rFonts w:cstheme="minorHAnsi"/>
                <w:i/>
                <w:sz w:val="18"/>
              </w:rPr>
              <w:t xml:space="preserve">em área classificada </w:t>
            </w:r>
            <w:r>
              <w:rPr>
                <w:rFonts w:cstheme="minorHAnsi"/>
                <w:i/>
                <w:sz w:val="18"/>
              </w:rPr>
              <w:t xml:space="preserve">do Grupo IIC (presença de hidrogênio), </w:t>
            </w:r>
            <w:r w:rsidRPr="008B68AD">
              <w:rPr>
                <w:rFonts w:cstheme="minorHAnsi"/>
                <w:i/>
                <w:sz w:val="18"/>
              </w:rPr>
              <w:t>(</w:t>
            </w:r>
            <w:r>
              <w:rPr>
                <w:rFonts w:cstheme="minorHAnsi"/>
                <w:i/>
                <w:sz w:val="18"/>
              </w:rPr>
              <w:t>P</w:t>
            </w:r>
            <w:r w:rsidRPr="008B68AD">
              <w:rPr>
                <w:rFonts w:cstheme="minorHAnsi"/>
                <w:i/>
                <w:sz w:val="18"/>
              </w:rPr>
              <w:t xml:space="preserve">lanta </w:t>
            </w:r>
            <w:r>
              <w:rPr>
                <w:rFonts w:cstheme="minorHAnsi"/>
                <w:i/>
                <w:sz w:val="18"/>
              </w:rPr>
              <w:t>de petróleo</w:t>
            </w:r>
            <w:r w:rsidRPr="008B68AD">
              <w:rPr>
                <w:rFonts w:cstheme="minorHAnsi"/>
                <w:i/>
                <w:sz w:val="18"/>
              </w:rPr>
              <w:t xml:space="preserve"> no Brasil na década de </w:t>
            </w:r>
            <w:r>
              <w:rPr>
                <w:rFonts w:cstheme="minorHAnsi"/>
                <w:b/>
                <w:i/>
                <w:sz w:val="18"/>
              </w:rPr>
              <w:t>1980</w:t>
            </w:r>
            <w:r w:rsidRPr="008B68AD">
              <w:rPr>
                <w:rFonts w:cstheme="minorHAnsi"/>
                <w:i/>
                <w:sz w:val="18"/>
              </w:rPr>
              <w:t>)</w:t>
            </w:r>
          </w:p>
        </w:tc>
        <w:tc>
          <w:tcPr>
            <w:tcW w:w="5238" w:type="dxa"/>
          </w:tcPr>
          <w:p w14:paraId="6AE2D12A" w14:textId="0B3AB098" w:rsidR="00AF6EC9" w:rsidRDefault="00AF6EC9" w:rsidP="00AF6EC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spacing w:before="120"/>
              <w:jc w:val="center"/>
              <w:rPr>
                <w:rFonts w:cstheme="minorHAnsi"/>
              </w:rPr>
            </w:pPr>
            <w:r w:rsidRPr="005B0DD3">
              <w:rPr>
                <w:rFonts w:cstheme="minorHAnsi"/>
                <w:i/>
                <w:sz w:val="18"/>
              </w:rPr>
              <w:t xml:space="preserve">Exemplo de </w:t>
            </w:r>
            <w:r>
              <w:rPr>
                <w:rFonts w:cstheme="minorHAnsi"/>
                <w:i/>
                <w:sz w:val="18"/>
              </w:rPr>
              <w:t xml:space="preserve">instalação de equipamentos </w:t>
            </w:r>
            <w:r w:rsidRPr="00EC6BA3">
              <w:rPr>
                <w:rFonts w:cstheme="minorHAnsi"/>
                <w:b/>
                <w:i/>
                <w:sz w:val="18"/>
              </w:rPr>
              <w:t>associados</w:t>
            </w:r>
            <w:r>
              <w:rPr>
                <w:rFonts w:cstheme="minorHAnsi"/>
                <w:i/>
                <w:sz w:val="18"/>
              </w:rPr>
              <w:t xml:space="preserve"> intrinsecamente seguros </w:t>
            </w:r>
            <w:r w:rsidRPr="00EC6BA3">
              <w:rPr>
                <w:rFonts w:cstheme="minorHAnsi"/>
                <w:b/>
                <w:i/>
                <w:sz w:val="18"/>
              </w:rPr>
              <w:t>[Ex “i”]</w:t>
            </w:r>
            <w:r>
              <w:rPr>
                <w:rFonts w:cstheme="minorHAnsi"/>
                <w:i/>
                <w:sz w:val="18"/>
              </w:rPr>
              <w:t xml:space="preserve">, </w:t>
            </w:r>
            <w:r w:rsidRPr="00EC6BA3">
              <w:rPr>
                <w:rFonts w:cstheme="minorHAnsi"/>
                <w:i/>
                <w:sz w:val="18"/>
                <w:u w:val="single"/>
              </w:rPr>
              <w:t>com</w:t>
            </w:r>
            <w:r>
              <w:rPr>
                <w:rFonts w:cstheme="minorHAnsi"/>
                <w:i/>
                <w:sz w:val="18"/>
              </w:rPr>
              <w:t xml:space="preserve"> isolação galvânica, montados no interior de painel de rearranjo de SDCD, em área não classificada (Planta petroquímica no Brasil na década de </w:t>
            </w:r>
            <w:r w:rsidRPr="00EC6BA3">
              <w:rPr>
                <w:rFonts w:cstheme="minorHAnsi"/>
                <w:b/>
                <w:i/>
                <w:sz w:val="18"/>
              </w:rPr>
              <w:t>1990</w:t>
            </w:r>
            <w:r>
              <w:rPr>
                <w:rFonts w:cstheme="minorHAnsi"/>
                <w:i/>
                <w:sz w:val="18"/>
              </w:rPr>
              <w:t>)</w:t>
            </w:r>
          </w:p>
        </w:tc>
      </w:tr>
    </w:tbl>
    <w:p w14:paraId="7A5C312D" w14:textId="7CDDD7C1" w:rsidR="00AF6EC9" w:rsidRDefault="00AF6EC9" w:rsidP="003A5B7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E734B" w14:paraId="06E9CF41" w14:textId="77777777" w:rsidTr="00374EB9">
        <w:tc>
          <w:tcPr>
            <w:tcW w:w="4814" w:type="dxa"/>
          </w:tcPr>
          <w:p w14:paraId="695F842A" w14:textId="72C7D0F7" w:rsidR="00BE734B" w:rsidRDefault="00BE734B" w:rsidP="003A5B7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CE1018">
              <w:rPr>
                <w:rFonts w:cstheme="minorHAnsi"/>
                <w:noProof/>
              </w:rPr>
              <w:drawing>
                <wp:inline distT="0" distB="0" distL="0" distR="0" wp14:anchorId="76A87595" wp14:editId="1EE165DD">
                  <wp:extent cx="2753852" cy="3073210"/>
                  <wp:effectExtent l="0" t="0" r="8890" b="0"/>
                  <wp:docPr id="55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784059" cy="3106920"/>
                          </a:xfrm>
                          <a:prstGeom prst="rect">
                            <a:avLst/>
                          </a:prstGeom>
                          <a:noFill/>
                          <a:ln>
                            <a:noFill/>
                          </a:ln>
                          <a:extLst/>
                        </pic:spPr>
                      </pic:pic>
                    </a:graphicData>
                  </a:graphic>
                </wp:inline>
              </w:drawing>
            </w:r>
          </w:p>
        </w:tc>
        <w:tc>
          <w:tcPr>
            <w:tcW w:w="4814" w:type="dxa"/>
          </w:tcPr>
          <w:p w14:paraId="105E2623" w14:textId="3D9C4964" w:rsidR="00BE734B" w:rsidRDefault="00BE734B" w:rsidP="003A5B7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drawing>
                <wp:inline distT="0" distB="0" distL="0" distR="0" wp14:anchorId="2FB85E51" wp14:editId="7F75BB46">
                  <wp:extent cx="3049716" cy="2692548"/>
                  <wp:effectExtent l="6985" t="0" r="5715" b="571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rot="5400000">
                            <a:off x="0" y="0"/>
                            <a:ext cx="3115802" cy="27508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734B" w14:paraId="62323D50" w14:textId="77777777" w:rsidTr="00374EB9">
        <w:tc>
          <w:tcPr>
            <w:tcW w:w="4814" w:type="dxa"/>
          </w:tcPr>
          <w:p w14:paraId="52C0AF7A" w14:textId="48082C1F" w:rsidR="00BE734B" w:rsidRDefault="00BE734B" w:rsidP="00BE734B">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CE1018">
              <w:rPr>
                <w:rFonts w:cstheme="minorHAnsi"/>
                <w:i/>
                <w:sz w:val="18"/>
              </w:rPr>
              <w:t xml:space="preserve">Exemplo de instalação de equipamentos </w:t>
            </w:r>
            <w:r w:rsidRPr="00CE1018">
              <w:rPr>
                <w:rFonts w:cstheme="minorHAnsi"/>
                <w:b/>
                <w:i/>
                <w:sz w:val="18"/>
              </w:rPr>
              <w:t>associados</w:t>
            </w:r>
            <w:r w:rsidRPr="00CE1018">
              <w:rPr>
                <w:rFonts w:cstheme="minorHAnsi"/>
                <w:i/>
                <w:sz w:val="18"/>
              </w:rPr>
              <w:t xml:space="preserve"> intrinsecamente seguros </w:t>
            </w:r>
            <w:r w:rsidRPr="00CE1018">
              <w:rPr>
                <w:rFonts w:cstheme="minorHAnsi"/>
                <w:b/>
                <w:i/>
                <w:sz w:val="18"/>
              </w:rPr>
              <w:t>[Ex “i”]</w:t>
            </w:r>
            <w:r w:rsidRPr="00CE1018">
              <w:rPr>
                <w:rFonts w:cstheme="minorHAnsi"/>
                <w:i/>
                <w:sz w:val="18"/>
              </w:rPr>
              <w:t>, com isolação galvânica, montados no interior</w:t>
            </w:r>
            <w:r>
              <w:rPr>
                <w:rFonts w:cstheme="minorHAnsi"/>
                <w:i/>
                <w:sz w:val="18"/>
              </w:rPr>
              <w:t xml:space="preserve"> de painel de rearranjo de SDCD, em área não classificada (Planta de petróleo no Brasil na década de </w:t>
            </w:r>
            <w:r w:rsidRPr="00EC6BA3">
              <w:rPr>
                <w:rFonts w:cstheme="minorHAnsi"/>
                <w:b/>
                <w:i/>
                <w:sz w:val="18"/>
              </w:rPr>
              <w:lastRenderedPageBreak/>
              <w:t>19</w:t>
            </w:r>
            <w:r>
              <w:rPr>
                <w:rFonts w:cstheme="minorHAnsi"/>
                <w:b/>
                <w:i/>
                <w:sz w:val="18"/>
              </w:rPr>
              <w:t>8</w:t>
            </w:r>
            <w:r w:rsidRPr="00EC6BA3">
              <w:rPr>
                <w:rFonts w:cstheme="minorHAnsi"/>
                <w:b/>
                <w:i/>
                <w:sz w:val="18"/>
              </w:rPr>
              <w:t>0</w:t>
            </w:r>
            <w:r>
              <w:rPr>
                <w:rFonts w:cstheme="minorHAnsi"/>
                <w:i/>
                <w:sz w:val="18"/>
              </w:rPr>
              <w:t>)</w:t>
            </w:r>
          </w:p>
        </w:tc>
        <w:tc>
          <w:tcPr>
            <w:tcW w:w="4814" w:type="dxa"/>
          </w:tcPr>
          <w:p w14:paraId="4518C45F" w14:textId="1BE084F1" w:rsidR="00BE734B" w:rsidRDefault="00BE734B" w:rsidP="00BE734B">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5B0DD3">
              <w:rPr>
                <w:rFonts w:cstheme="minorHAnsi"/>
                <w:i/>
                <w:sz w:val="18"/>
              </w:rPr>
              <w:lastRenderedPageBreak/>
              <w:t xml:space="preserve">Exemplo de </w:t>
            </w:r>
            <w:r>
              <w:rPr>
                <w:rFonts w:cstheme="minorHAnsi"/>
                <w:i/>
                <w:sz w:val="18"/>
              </w:rPr>
              <w:t xml:space="preserve">instalação de equipamentos </w:t>
            </w:r>
            <w:r w:rsidRPr="00EC6BA3">
              <w:rPr>
                <w:rFonts w:cstheme="minorHAnsi"/>
                <w:b/>
                <w:i/>
                <w:sz w:val="18"/>
              </w:rPr>
              <w:t>associados</w:t>
            </w:r>
            <w:r>
              <w:rPr>
                <w:rFonts w:cstheme="minorHAnsi"/>
                <w:i/>
                <w:sz w:val="18"/>
              </w:rPr>
              <w:t xml:space="preserve"> intrinsecamente seguros </w:t>
            </w:r>
            <w:r w:rsidRPr="00EC6BA3">
              <w:rPr>
                <w:rFonts w:cstheme="minorHAnsi"/>
                <w:b/>
                <w:i/>
                <w:sz w:val="18"/>
              </w:rPr>
              <w:t>[Ex “i”]</w:t>
            </w:r>
            <w:r>
              <w:rPr>
                <w:rFonts w:cstheme="minorHAnsi"/>
                <w:i/>
                <w:sz w:val="18"/>
              </w:rPr>
              <w:t xml:space="preserve">, </w:t>
            </w:r>
            <w:r w:rsidRPr="00EC6BA3">
              <w:rPr>
                <w:rFonts w:cstheme="minorHAnsi"/>
                <w:i/>
                <w:sz w:val="18"/>
                <w:u w:val="single"/>
              </w:rPr>
              <w:t>com</w:t>
            </w:r>
            <w:r>
              <w:rPr>
                <w:rFonts w:cstheme="minorHAnsi"/>
                <w:i/>
                <w:sz w:val="18"/>
              </w:rPr>
              <w:t xml:space="preserve"> isolação galvânica, montados no interior de painel de rearranjo de PLC, em área não classificada (Instalação em planta petroquímica no Brasil </w:t>
            </w:r>
            <w:r>
              <w:rPr>
                <w:rFonts w:cstheme="minorHAnsi"/>
                <w:i/>
                <w:sz w:val="18"/>
              </w:rPr>
              <w:lastRenderedPageBreak/>
              <w:t xml:space="preserve">na década de </w:t>
            </w:r>
            <w:r w:rsidRPr="00EC6BA3">
              <w:rPr>
                <w:rFonts w:cstheme="minorHAnsi"/>
                <w:b/>
                <w:i/>
                <w:sz w:val="18"/>
              </w:rPr>
              <w:t>19</w:t>
            </w:r>
            <w:r>
              <w:rPr>
                <w:rFonts w:cstheme="minorHAnsi"/>
                <w:b/>
                <w:i/>
                <w:sz w:val="18"/>
              </w:rPr>
              <w:t>9</w:t>
            </w:r>
            <w:r w:rsidRPr="00EC6BA3">
              <w:rPr>
                <w:rFonts w:cstheme="minorHAnsi"/>
                <w:b/>
                <w:i/>
                <w:sz w:val="18"/>
              </w:rPr>
              <w:t>0</w:t>
            </w:r>
            <w:r>
              <w:rPr>
                <w:rFonts w:cstheme="minorHAnsi"/>
                <w:i/>
                <w:sz w:val="18"/>
              </w:rPr>
              <w:t>)</w:t>
            </w:r>
          </w:p>
        </w:tc>
      </w:tr>
    </w:tbl>
    <w:p w14:paraId="079B1389" w14:textId="428D0C23" w:rsidR="000B1162" w:rsidRDefault="000B1162" w:rsidP="000A558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3"/>
      </w:tblGrid>
      <w:tr w:rsidR="00631E8F" w14:paraId="3A3043A7" w14:textId="77777777" w:rsidTr="00374EB9">
        <w:tc>
          <w:tcPr>
            <w:tcW w:w="4815" w:type="dxa"/>
            <w:vAlign w:val="center"/>
          </w:tcPr>
          <w:p w14:paraId="35812B14" w14:textId="05FF21BD" w:rsidR="00AF6EC9" w:rsidRDefault="00631E8F" w:rsidP="00AF6EC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drawing>
                <wp:inline distT="0" distB="0" distL="0" distR="0" wp14:anchorId="334041B5" wp14:editId="4D4708FF">
                  <wp:extent cx="2919364" cy="2448232"/>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5126" cy="2494995"/>
                          </a:xfrm>
                          <a:prstGeom prst="rect">
                            <a:avLst/>
                          </a:prstGeom>
                          <a:noFill/>
                          <a:ln>
                            <a:noFill/>
                          </a:ln>
                        </pic:spPr>
                      </pic:pic>
                    </a:graphicData>
                  </a:graphic>
                </wp:inline>
              </w:drawing>
            </w:r>
          </w:p>
        </w:tc>
        <w:tc>
          <w:tcPr>
            <w:tcW w:w="4813" w:type="dxa"/>
            <w:vAlign w:val="center"/>
          </w:tcPr>
          <w:p w14:paraId="375E5D5B" w14:textId="63BEA066" w:rsidR="00AF6EC9" w:rsidRDefault="00631E8F" w:rsidP="00AF6EC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drawing>
                <wp:inline distT="0" distB="0" distL="0" distR="0" wp14:anchorId="231C5C5F" wp14:editId="654F52A9">
                  <wp:extent cx="2607059" cy="2838976"/>
                  <wp:effectExtent l="17463" t="20637" r="20637" b="20638"/>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rot="5400000">
                            <a:off x="0" y="0"/>
                            <a:ext cx="2714940" cy="29564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31E8F" w14:paraId="4E3CC971" w14:textId="77777777" w:rsidTr="00374EB9">
        <w:tc>
          <w:tcPr>
            <w:tcW w:w="4815" w:type="dxa"/>
            <w:vAlign w:val="center"/>
          </w:tcPr>
          <w:p w14:paraId="678C3468" w14:textId="401EBEF9" w:rsidR="00631E8F" w:rsidRDefault="00631E8F" w:rsidP="00631E8F">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noProof/>
              </w:rPr>
            </w:pPr>
            <w:r w:rsidRPr="008B68AD">
              <w:rPr>
                <w:rFonts w:cstheme="minorHAnsi"/>
                <w:i/>
                <w:sz w:val="18"/>
              </w:rPr>
              <w:t xml:space="preserve">Exemplo de instalação de </w:t>
            </w:r>
            <w:r>
              <w:rPr>
                <w:rFonts w:cstheme="minorHAnsi"/>
                <w:i/>
                <w:sz w:val="18"/>
              </w:rPr>
              <w:t xml:space="preserve">instrumento transmissor instalado </w:t>
            </w:r>
            <w:r w:rsidRPr="008B68AD">
              <w:rPr>
                <w:rFonts w:cstheme="minorHAnsi"/>
                <w:i/>
                <w:sz w:val="18"/>
              </w:rPr>
              <w:t xml:space="preserve">em área classificada </w:t>
            </w:r>
            <w:r w:rsidRPr="00CE1018">
              <w:rPr>
                <w:rFonts w:cstheme="minorHAnsi"/>
                <w:b/>
                <w:i/>
                <w:sz w:val="18"/>
              </w:rPr>
              <w:t xml:space="preserve">Zona </w:t>
            </w:r>
            <w:r>
              <w:rPr>
                <w:rFonts w:cstheme="minorHAnsi"/>
                <w:b/>
                <w:i/>
                <w:sz w:val="18"/>
              </w:rPr>
              <w:t>1</w:t>
            </w:r>
            <w:r>
              <w:rPr>
                <w:rFonts w:cstheme="minorHAnsi"/>
                <w:i/>
                <w:sz w:val="18"/>
              </w:rPr>
              <w:t xml:space="preserve">, com tipo de proteção </w:t>
            </w:r>
            <w:r w:rsidRPr="00CE1018">
              <w:rPr>
                <w:rFonts w:cstheme="minorHAnsi"/>
                <w:b/>
                <w:i/>
                <w:sz w:val="18"/>
              </w:rPr>
              <w:t>Ex “ia”</w:t>
            </w:r>
            <w:r>
              <w:rPr>
                <w:rFonts w:cstheme="minorHAnsi"/>
                <w:i/>
                <w:sz w:val="18"/>
              </w:rPr>
              <w:t xml:space="preserve"> </w:t>
            </w:r>
            <w:r w:rsidRPr="008B68AD">
              <w:rPr>
                <w:rFonts w:cstheme="minorHAnsi"/>
                <w:i/>
                <w:sz w:val="18"/>
              </w:rPr>
              <w:t>(</w:t>
            </w:r>
            <w:r>
              <w:rPr>
                <w:rFonts w:cstheme="minorHAnsi"/>
                <w:i/>
                <w:sz w:val="18"/>
              </w:rPr>
              <w:t>P</w:t>
            </w:r>
            <w:r w:rsidRPr="008B68AD">
              <w:rPr>
                <w:rFonts w:cstheme="minorHAnsi"/>
                <w:i/>
                <w:sz w:val="18"/>
              </w:rPr>
              <w:t xml:space="preserve">lanta </w:t>
            </w:r>
            <w:r>
              <w:rPr>
                <w:rFonts w:cstheme="minorHAnsi"/>
                <w:i/>
                <w:sz w:val="18"/>
              </w:rPr>
              <w:t>de petróleo</w:t>
            </w:r>
            <w:r w:rsidRPr="008B68AD">
              <w:rPr>
                <w:rFonts w:cstheme="minorHAnsi"/>
                <w:i/>
                <w:sz w:val="18"/>
              </w:rPr>
              <w:t xml:space="preserve"> no Brasil na década de </w:t>
            </w:r>
            <w:r>
              <w:rPr>
                <w:rFonts w:cstheme="minorHAnsi"/>
                <w:b/>
                <w:i/>
                <w:sz w:val="18"/>
              </w:rPr>
              <w:t>1990</w:t>
            </w:r>
            <w:r w:rsidRPr="008B68AD">
              <w:rPr>
                <w:rFonts w:cstheme="minorHAnsi"/>
                <w:i/>
                <w:sz w:val="18"/>
              </w:rPr>
              <w:t>)</w:t>
            </w:r>
          </w:p>
        </w:tc>
        <w:tc>
          <w:tcPr>
            <w:tcW w:w="4813" w:type="dxa"/>
            <w:vAlign w:val="center"/>
          </w:tcPr>
          <w:p w14:paraId="08C37A70" w14:textId="5990216A" w:rsidR="00631E8F" w:rsidRPr="008B68AD" w:rsidRDefault="00631E8F" w:rsidP="00631E8F">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8B68AD">
              <w:rPr>
                <w:rFonts w:cstheme="minorHAnsi"/>
                <w:i/>
                <w:sz w:val="18"/>
              </w:rPr>
              <w:t xml:space="preserve">Exemplo de instalação de </w:t>
            </w:r>
            <w:r>
              <w:rPr>
                <w:rFonts w:cstheme="minorHAnsi"/>
                <w:i/>
                <w:sz w:val="18"/>
              </w:rPr>
              <w:t xml:space="preserve">sensor de nível do tipo radar, com elemento sensor instalado </w:t>
            </w:r>
            <w:r w:rsidRPr="008B68AD">
              <w:rPr>
                <w:rFonts w:cstheme="minorHAnsi"/>
                <w:i/>
                <w:sz w:val="18"/>
              </w:rPr>
              <w:t xml:space="preserve">em área classificada </w:t>
            </w:r>
            <w:r w:rsidRPr="00CE1018">
              <w:rPr>
                <w:rFonts w:cstheme="minorHAnsi"/>
                <w:b/>
                <w:i/>
                <w:sz w:val="18"/>
              </w:rPr>
              <w:t>Zona 0</w:t>
            </w:r>
            <w:r>
              <w:rPr>
                <w:rFonts w:cstheme="minorHAnsi"/>
                <w:i/>
                <w:sz w:val="18"/>
              </w:rPr>
              <w:t xml:space="preserve">, com tipo de proteção </w:t>
            </w:r>
            <w:r w:rsidRPr="00CE1018">
              <w:rPr>
                <w:rFonts w:cstheme="minorHAnsi"/>
                <w:b/>
                <w:i/>
                <w:sz w:val="18"/>
              </w:rPr>
              <w:t>Ex “ia”</w:t>
            </w:r>
            <w:r>
              <w:rPr>
                <w:rFonts w:cstheme="minorHAnsi"/>
                <w:i/>
                <w:sz w:val="18"/>
              </w:rPr>
              <w:t xml:space="preserve"> </w:t>
            </w:r>
            <w:r w:rsidRPr="008B68AD">
              <w:rPr>
                <w:rFonts w:cstheme="minorHAnsi"/>
                <w:i/>
                <w:sz w:val="18"/>
              </w:rPr>
              <w:t>(</w:t>
            </w:r>
            <w:r>
              <w:rPr>
                <w:rFonts w:cstheme="minorHAnsi"/>
                <w:i/>
                <w:sz w:val="18"/>
              </w:rPr>
              <w:t>P</w:t>
            </w:r>
            <w:r w:rsidRPr="008B68AD">
              <w:rPr>
                <w:rFonts w:cstheme="minorHAnsi"/>
                <w:i/>
                <w:sz w:val="18"/>
              </w:rPr>
              <w:t xml:space="preserve">lanta </w:t>
            </w:r>
            <w:r>
              <w:rPr>
                <w:rFonts w:cstheme="minorHAnsi"/>
                <w:i/>
                <w:sz w:val="18"/>
              </w:rPr>
              <w:t>de petróleo</w:t>
            </w:r>
            <w:r w:rsidRPr="008B68AD">
              <w:rPr>
                <w:rFonts w:cstheme="minorHAnsi"/>
                <w:i/>
                <w:sz w:val="18"/>
              </w:rPr>
              <w:t xml:space="preserve"> no Brasil na década de </w:t>
            </w:r>
            <w:r w:rsidR="00666841">
              <w:rPr>
                <w:rFonts w:cstheme="minorHAnsi"/>
                <w:b/>
                <w:i/>
                <w:sz w:val="18"/>
              </w:rPr>
              <w:t>2000</w:t>
            </w:r>
            <w:r w:rsidRPr="008B68AD">
              <w:rPr>
                <w:rFonts w:cstheme="minorHAnsi"/>
                <w:i/>
                <w:sz w:val="18"/>
              </w:rPr>
              <w:t>)</w:t>
            </w:r>
          </w:p>
        </w:tc>
      </w:tr>
    </w:tbl>
    <w:p w14:paraId="3A09E32D" w14:textId="40B79ED0" w:rsidR="00FD3FDF" w:rsidRDefault="00FD3FDF" w:rsidP="000A558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rFonts w:cstheme="minorHAnsi"/>
          <w:noProof/>
        </w:rPr>
        <w:drawing>
          <wp:inline distT="0" distB="0" distL="0" distR="0" wp14:anchorId="26F1429B" wp14:editId="560B59D1">
            <wp:extent cx="4574116" cy="3273270"/>
            <wp:effectExtent l="19050" t="19050" r="17145" b="2286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604001" cy="3294656"/>
                    </a:xfrm>
                    <a:prstGeom prst="rect">
                      <a:avLst/>
                    </a:prstGeom>
                    <a:noFill/>
                    <a:ln>
                      <a:solidFill>
                        <a:schemeClr val="tx1"/>
                      </a:solidFill>
                    </a:ln>
                  </pic:spPr>
                </pic:pic>
              </a:graphicData>
            </a:graphic>
          </wp:inline>
        </w:drawing>
      </w:r>
    </w:p>
    <w:p w14:paraId="5F5468DA" w14:textId="237A0C17" w:rsidR="00FD3FDF" w:rsidRDefault="00FD3FDF" w:rsidP="000A558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p w14:paraId="4003B0DE" w14:textId="61479B39" w:rsidR="00FD3FDF" w:rsidRPr="008B68AD" w:rsidRDefault="00FD3FDF" w:rsidP="00FD3FDF">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8B68AD">
        <w:rPr>
          <w:rFonts w:cstheme="minorHAnsi"/>
          <w:i/>
          <w:sz w:val="18"/>
        </w:rPr>
        <w:t>Exemplo de instalação de</w:t>
      </w:r>
      <w:r w:rsidR="001F1C34">
        <w:rPr>
          <w:rFonts w:cstheme="minorHAnsi"/>
          <w:i/>
          <w:sz w:val="18"/>
        </w:rPr>
        <w:t xml:space="preserve"> barreiras de segurança intrínseca com isolação galvânica com tipos de proteção “Ex”</w:t>
      </w:r>
      <w:r w:rsidRPr="008B68AD">
        <w:rPr>
          <w:rFonts w:cstheme="minorHAnsi"/>
          <w:i/>
          <w:sz w:val="18"/>
        </w:rPr>
        <w:t>, em área classificada</w:t>
      </w:r>
      <w:r w:rsidR="001F1C34">
        <w:rPr>
          <w:rFonts w:cstheme="minorHAnsi"/>
          <w:i/>
          <w:sz w:val="18"/>
        </w:rPr>
        <w:t>, com comunicação com PLC por meio de cabos de fibra óptica</w:t>
      </w:r>
      <w:r w:rsidRPr="008B68AD">
        <w:rPr>
          <w:rFonts w:cstheme="minorHAnsi"/>
          <w:i/>
          <w:sz w:val="18"/>
        </w:rPr>
        <w:t xml:space="preserve"> (</w:t>
      </w:r>
      <w:r w:rsidR="001F1C34">
        <w:rPr>
          <w:rFonts w:cstheme="minorHAnsi"/>
          <w:i/>
          <w:sz w:val="18"/>
        </w:rPr>
        <w:t>P</w:t>
      </w:r>
      <w:r w:rsidRPr="008B68AD">
        <w:rPr>
          <w:rFonts w:cstheme="minorHAnsi"/>
          <w:i/>
          <w:sz w:val="18"/>
        </w:rPr>
        <w:t xml:space="preserve">lanta </w:t>
      </w:r>
      <w:r w:rsidR="001F1C34">
        <w:rPr>
          <w:rFonts w:cstheme="minorHAnsi"/>
          <w:i/>
          <w:sz w:val="18"/>
        </w:rPr>
        <w:t xml:space="preserve">de transferência de derivados de petróleo </w:t>
      </w:r>
      <w:r w:rsidRPr="008B68AD">
        <w:rPr>
          <w:rFonts w:cstheme="minorHAnsi"/>
          <w:i/>
          <w:sz w:val="18"/>
        </w:rPr>
        <w:t xml:space="preserve">no Brasil na década de </w:t>
      </w:r>
      <w:r w:rsidRPr="000A558A">
        <w:rPr>
          <w:rFonts w:cstheme="minorHAnsi"/>
          <w:b/>
          <w:i/>
          <w:sz w:val="18"/>
        </w:rPr>
        <w:t>2000</w:t>
      </w:r>
      <w:r w:rsidRPr="008B68AD">
        <w:rPr>
          <w:rFonts w:cstheme="minorHAnsi"/>
          <w:i/>
          <w:sz w:val="18"/>
        </w:rPr>
        <w:t>)</w:t>
      </w:r>
    </w:p>
    <w:p w14:paraId="302117E6" w14:textId="77777777" w:rsidR="00612E06" w:rsidRDefault="00612E06" w:rsidP="000A558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p w14:paraId="7B1BD137" w14:textId="6088BC07" w:rsidR="008B68AD" w:rsidRDefault="008B68AD" w:rsidP="00474A8D">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lastRenderedPageBreak/>
        <w:drawing>
          <wp:inline distT="0" distB="0" distL="0" distR="0" wp14:anchorId="74CAF51B" wp14:editId="1877D90B">
            <wp:extent cx="4824253" cy="2848827"/>
            <wp:effectExtent l="19050" t="19050" r="14605" b="279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screen">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4859484" cy="2869632"/>
                    </a:xfrm>
                    <a:prstGeom prst="rect">
                      <a:avLst/>
                    </a:prstGeom>
                    <a:noFill/>
                    <a:ln>
                      <a:solidFill>
                        <a:schemeClr val="tx1"/>
                      </a:solidFill>
                    </a:ln>
                  </pic:spPr>
                </pic:pic>
              </a:graphicData>
            </a:graphic>
          </wp:inline>
        </w:drawing>
      </w:r>
    </w:p>
    <w:p w14:paraId="78A2421D" w14:textId="77777777" w:rsidR="00474A8D" w:rsidRDefault="00474A8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8BDEE42" w14:textId="48CE3D75" w:rsidR="008B68AD" w:rsidRPr="008B68AD" w:rsidRDefault="008B68AD" w:rsidP="008B68AD">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8B68AD">
        <w:rPr>
          <w:rFonts w:cstheme="minorHAnsi"/>
          <w:i/>
          <w:sz w:val="18"/>
        </w:rPr>
        <w:t>Exemplo de instalação de fonte</w:t>
      </w:r>
      <w:r w:rsidR="00546CF8">
        <w:rPr>
          <w:rFonts w:cstheme="minorHAnsi"/>
          <w:i/>
          <w:sz w:val="18"/>
        </w:rPr>
        <w:t>s</w:t>
      </w:r>
      <w:r w:rsidRPr="008B68AD">
        <w:rPr>
          <w:rFonts w:cstheme="minorHAnsi"/>
          <w:i/>
          <w:sz w:val="18"/>
        </w:rPr>
        <w:t xml:space="preserve"> de alimentação de </w:t>
      </w:r>
      <w:r w:rsidRPr="008B68AD">
        <w:rPr>
          <w:rFonts w:cstheme="minorHAnsi"/>
          <w:b/>
          <w:i/>
          <w:sz w:val="18"/>
        </w:rPr>
        <w:t>Field Bus intrinsecamente seguro</w:t>
      </w:r>
      <w:r w:rsidRPr="008B68AD">
        <w:rPr>
          <w:rFonts w:cstheme="minorHAnsi"/>
          <w:i/>
          <w:sz w:val="18"/>
        </w:rPr>
        <w:t xml:space="preserve"> (</w:t>
      </w:r>
      <w:r w:rsidRPr="00EE1BA4">
        <w:rPr>
          <w:rFonts w:cstheme="minorHAnsi"/>
          <w:b/>
          <w:i/>
          <w:sz w:val="18"/>
        </w:rPr>
        <w:t>FISCO</w:t>
      </w:r>
      <w:r>
        <w:rPr>
          <w:rFonts w:cstheme="minorHAnsi"/>
          <w:i/>
          <w:sz w:val="18"/>
        </w:rPr>
        <w:t xml:space="preserve"> </w:t>
      </w:r>
      <w:r w:rsidR="00EE1BA4">
        <w:rPr>
          <w:rFonts w:cstheme="minorHAnsi"/>
          <w:i/>
          <w:sz w:val="18"/>
        </w:rPr>
        <w:t>–</w:t>
      </w:r>
      <w:r>
        <w:rPr>
          <w:rFonts w:cstheme="minorHAnsi"/>
          <w:i/>
          <w:sz w:val="18"/>
        </w:rPr>
        <w:t xml:space="preserve"> </w:t>
      </w:r>
      <w:r w:rsidR="00EE1BA4">
        <w:rPr>
          <w:rFonts w:cstheme="minorHAnsi"/>
          <w:i/>
          <w:sz w:val="18"/>
        </w:rPr>
        <w:t xml:space="preserve">Fieldbus </w:t>
      </w:r>
      <w:r w:rsidR="00EE1BA4" w:rsidRPr="00EE1BA4">
        <w:rPr>
          <w:rFonts w:cstheme="minorHAnsi"/>
          <w:i/>
          <w:sz w:val="18"/>
        </w:rPr>
        <w:t>Intrinsically</w:t>
      </w:r>
      <w:r w:rsidR="00EE1BA4">
        <w:rPr>
          <w:rFonts w:cstheme="minorHAnsi"/>
          <w:i/>
          <w:sz w:val="18"/>
        </w:rPr>
        <w:t xml:space="preserve"> Safe Concept</w:t>
      </w:r>
      <w:r w:rsidRPr="008B68AD">
        <w:rPr>
          <w:rFonts w:cstheme="minorHAnsi"/>
          <w:i/>
          <w:sz w:val="18"/>
        </w:rPr>
        <w:t>), montad</w:t>
      </w:r>
      <w:r w:rsidR="00546CF8">
        <w:rPr>
          <w:rFonts w:cstheme="minorHAnsi"/>
          <w:i/>
          <w:sz w:val="18"/>
        </w:rPr>
        <w:t>a</w:t>
      </w:r>
      <w:r w:rsidRPr="008B68AD">
        <w:rPr>
          <w:rFonts w:cstheme="minorHAnsi"/>
          <w:i/>
          <w:sz w:val="18"/>
        </w:rPr>
        <w:t>s no interior de painel de rearranjo</w:t>
      </w:r>
      <w:r w:rsidR="00546CF8">
        <w:rPr>
          <w:rFonts w:cstheme="minorHAnsi"/>
          <w:i/>
          <w:sz w:val="18"/>
        </w:rPr>
        <w:t xml:space="preserve"> de PLC</w:t>
      </w:r>
      <w:r w:rsidRPr="008B68AD">
        <w:rPr>
          <w:rFonts w:cstheme="minorHAnsi"/>
          <w:i/>
          <w:sz w:val="18"/>
        </w:rPr>
        <w:t>, em área não classificada</w:t>
      </w:r>
      <w:r w:rsidR="00612E06">
        <w:rPr>
          <w:rFonts w:cstheme="minorHAnsi"/>
          <w:i/>
          <w:sz w:val="18"/>
        </w:rPr>
        <w:t>, para proteção de sistemas FISCO instalados em áreas classificadas de diferentes unidades de processo</w:t>
      </w:r>
      <w:r w:rsidRPr="008B68AD">
        <w:rPr>
          <w:rFonts w:cstheme="minorHAnsi"/>
          <w:i/>
          <w:sz w:val="18"/>
        </w:rPr>
        <w:t xml:space="preserve"> (</w:t>
      </w:r>
      <w:r w:rsidR="001F1C34">
        <w:rPr>
          <w:rFonts w:cstheme="minorHAnsi"/>
          <w:i/>
          <w:sz w:val="18"/>
        </w:rPr>
        <w:t>Pl</w:t>
      </w:r>
      <w:r w:rsidRPr="008B68AD">
        <w:rPr>
          <w:rFonts w:cstheme="minorHAnsi"/>
          <w:i/>
          <w:sz w:val="18"/>
        </w:rPr>
        <w:t xml:space="preserve">anta petroquímica no Brasil na década de </w:t>
      </w:r>
      <w:r w:rsidRPr="000A558A">
        <w:rPr>
          <w:rFonts w:cstheme="minorHAnsi"/>
          <w:b/>
          <w:i/>
          <w:sz w:val="18"/>
        </w:rPr>
        <w:t>2000</w:t>
      </w:r>
      <w:r w:rsidRPr="008B68AD">
        <w:rPr>
          <w:rFonts w:cstheme="minorHAnsi"/>
          <w:i/>
          <w:sz w:val="18"/>
        </w:rPr>
        <w:t>)</w:t>
      </w:r>
    </w:p>
    <w:p w14:paraId="6E3CB6A8" w14:textId="2A3843BE" w:rsidR="00474A8D" w:rsidRDefault="00474A8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B8B9B7A" w14:textId="20896E15" w:rsidR="00474A8D" w:rsidRDefault="00474A8D" w:rsidP="00474A8D">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drawing>
          <wp:inline distT="0" distB="0" distL="0" distR="0" wp14:anchorId="2D8E9E4D" wp14:editId="0C4D6E56">
            <wp:extent cx="5114614" cy="3897630"/>
            <wp:effectExtent l="19050" t="19050" r="10160" b="2667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129812" cy="39092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350EEA6" w14:textId="2E103564" w:rsidR="006029A4" w:rsidRDefault="006029A4" w:rsidP="00474A8D">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p w14:paraId="1A22DC27" w14:textId="4851B714" w:rsidR="006029A4" w:rsidRPr="008B68AD" w:rsidRDefault="006029A4" w:rsidP="006029A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8B68AD">
        <w:rPr>
          <w:rFonts w:cstheme="minorHAnsi"/>
          <w:i/>
          <w:sz w:val="18"/>
        </w:rPr>
        <w:t xml:space="preserve">Exemplo de instalação de </w:t>
      </w:r>
      <w:r>
        <w:rPr>
          <w:rFonts w:cstheme="minorHAnsi"/>
          <w:i/>
          <w:sz w:val="18"/>
        </w:rPr>
        <w:t>derivadores</w:t>
      </w:r>
      <w:r w:rsidR="00FD576B">
        <w:rPr>
          <w:rFonts w:cstheme="minorHAnsi"/>
          <w:i/>
          <w:sz w:val="18"/>
        </w:rPr>
        <w:t xml:space="preserve"> de circuitos</w:t>
      </w:r>
      <w:r w:rsidRPr="008B68AD">
        <w:rPr>
          <w:rFonts w:cstheme="minorHAnsi"/>
          <w:i/>
          <w:sz w:val="18"/>
        </w:rPr>
        <w:t xml:space="preserve"> </w:t>
      </w:r>
      <w:r w:rsidRPr="008B68AD">
        <w:rPr>
          <w:rFonts w:cstheme="minorHAnsi"/>
          <w:b/>
          <w:i/>
          <w:sz w:val="18"/>
        </w:rPr>
        <w:t>Field Bus intrinsecamente seguro</w:t>
      </w:r>
      <w:r w:rsidRPr="008B68AD">
        <w:rPr>
          <w:rFonts w:cstheme="minorHAnsi"/>
          <w:i/>
          <w:sz w:val="18"/>
        </w:rPr>
        <w:t xml:space="preserve"> (</w:t>
      </w:r>
      <w:r w:rsidRPr="00EE1BA4">
        <w:rPr>
          <w:rFonts w:cstheme="minorHAnsi"/>
          <w:b/>
          <w:i/>
          <w:sz w:val="18"/>
        </w:rPr>
        <w:t>FISCO</w:t>
      </w:r>
      <w:r>
        <w:rPr>
          <w:rFonts w:cstheme="minorHAnsi"/>
          <w:i/>
          <w:sz w:val="18"/>
        </w:rPr>
        <w:t xml:space="preserve"> – Fieldbus </w:t>
      </w:r>
      <w:r w:rsidRPr="00EE1BA4">
        <w:rPr>
          <w:rFonts w:cstheme="minorHAnsi"/>
          <w:i/>
          <w:sz w:val="18"/>
        </w:rPr>
        <w:t>Intrinsically</w:t>
      </w:r>
      <w:r>
        <w:rPr>
          <w:rFonts w:cstheme="minorHAnsi"/>
          <w:i/>
          <w:sz w:val="18"/>
        </w:rPr>
        <w:t xml:space="preserve"> Safe Concept</w:t>
      </w:r>
      <w:r w:rsidRPr="008B68AD">
        <w:rPr>
          <w:rFonts w:cstheme="minorHAnsi"/>
          <w:i/>
          <w:sz w:val="18"/>
        </w:rPr>
        <w:t>), montad</w:t>
      </w:r>
      <w:r>
        <w:rPr>
          <w:rFonts w:cstheme="minorHAnsi"/>
          <w:i/>
          <w:sz w:val="18"/>
        </w:rPr>
        <w:t>a</w:t>
      </w:r>
      <w:r w:rsidRPr="008B68AD">
        <w:rPr>
          <w:rFonts w:cstheme="minorHAnsi"/>
          <w:i/>
          <w:sz w:val="18"/>
        </w:rPr>
        <w:t>s em área classificada (</w:t>
      </w:r>
      <w:r w:rsidR="001F1C34">
        <w:rPr>
          <w:rFonts w:cstheme="minorHAnsi"/>
          <w:i/>
          <w:sz w:val="18"/>
        </w:rPr>
        <w:t>P</w:t>
      </w:r>
      <w:r w:rsidRPr="008B68AD">
        <w:rPr>
          <w:rFonts w:cstheme="minorHAnsi"/>
          <w:i/>
          <w:sz w:val="18"/>
        </w:rPr>
        <w:t xml:space="preserve">lanta </w:t>
      </w:r>
      <w:r>
        <w:rPr>
          <w:rFonts w:cstheme="minorHAnsi"/>
          <w:i/>
          <w:sz w:val="18"/>
        </w:rPr>
        <w:t>de gás natural</w:t>
      </w:r>
      <w:r w:rsidRPr="008B68AD">
        <w:rPr>
          <w:rFonts w:cstheme="minorHAnsi"/>
          <w:i/>
          <w:sz w:val="18"/>
        </w:rPr>
        <w:t xml:space="preserve"> no Brasil na década de </w:t>
      </w:r>
      <w:r w:rsidRPr="000A558A">
        <w:rPr>
          <w:rFonts w:cstheme="minorHAnsi"/>
          <w:b/>
          <w:i/>
          <w:sz w:val="18"/>
        </w:rPr>
        <w:t>2000</w:t>
      </w:r>
      <w:r w:rsidRPr="008B68AD">
        <w:rPr>
          <w:rFonts w:cstheme="minorHAnsi"/>
          <w:i/>
          <w:sz w:val="18"/>
        </w:rPr>
        <w:t>)</w:t>
      </w:r>
    </w:p>
    <w:p w14:paraId="68306046" w14:textId="77777777" w:rsidR="00474A8D" w:rsidRDefault="00474A8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8A55900" w14:textId="7BA70339" w:rsidR="00EE1BA4" w:rsidRDefault="00EE1BA4"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1339F23" w14:textId="3D604D72" w:rsidR="009B6612" w:rsidRDefault="004A303A" w:rsidP="00287248">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88664A">
        <w:rPr>
          <w:rFonts w:cstheme="minorHAnsi"/>
          <w:noProof/>
        </w:rPr>
        <w:lastRenderedPageBreak/>
        <w:drawing>
          <wp:inline distT="0" distB="0" distL="0" distR="0" wp14:anchorId="3287E7A8" wp14:editId="72EE5166">
            <wp:extent cx="5091239" cy="3707851"/>
            <wp:effectExtent l="19050" t="19050" r="14605" b="26035"/>
            <wp:docPr id="5" name="Imagem 5" descr="UTR Ex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R Ex i"/>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159872" cy="3757835"/>
                    </a:xfrm>
                    <a:prstGeom prst="rect">
                      <a:avLst/>
                    </a:prstGeom>
                    <a:noFill/>
                    <a:ln>
                      <a:solidFill>
                        <a:schemeClr val="tx1"/>
                      </a:solidFill>
                    </a:ln>
                  </pic:spPr>
                </pic:pic>
              </a:graphicData>
            </a:graphic>
          </wp:inline>
        </w:drawing>
      </w:r>
    </w:p>
    <w:p w14:paraId="7BEE811A" w14:textId="3E00F2B9" w:rsidR="00287248" w:rsidRDefault="00287248" w:rsidP="00287248">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p>
    <w:p w14:paraId="6D25D11E" w14:textId="769B1D9F" w:rsidR="00287248" w:rsidRPr="008B68AD" w:rsidRDefault="00287248" w:rsidP="00287248">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8B68AD">
        <w:rPr>
          <w:rFonts w:cstheme="minorHAnsi"/>
          <w:i/>
          <w:sz w:val="18"/>
        </w:rPr>
        <w:t>Exemplo de instalação de</w:t>
      </w:r>
      <w:r>
        <w:rPr>
          <w:rFonts w:cstheme="minorHAnsi"/>
          <w:i/>
          <w:sz w:val="18"/>
        </w:rPr>
        <w:t xml:space="preserve"> barreiras de segurança intrínseca com isolação galvânica com tipos de proteção “Ex”</w:t>
      </w:r>
      <w:r w:rsidR="004A303A">
        <w:rPr>
          <w:rFonts w:cstheme="minorHAnsi"/>
          <w:i/>
          <w:sz w:val="18"/>
        </w:rPr>
        <w:t>, fonte de alimentação e gateway Ex “de”</w:t>
      </w:r>
      <w:r w:rsidRPr="008B68AD">
        <w:rPr>
          <w:rFonts w:cstheme="minorHAnsi"/>
          <w:i/>
          <w:sz w:val="18"/>
        </w:rPr>
        <w:t>, em área classificada</w:t>
      </w:r>
      <w:r>
        <w:rPr>
          <w:rFonts w:cstheme="minorHAnsi"/>
          <w:i/>
          <w:sz w:val="18"/>
        </w:rPr>
        <w:t xml:space="preserve">, com comunicação com </w:t>
      </w:r>
      <w:r w:rsidR="004A303A">
        <w:rPr>
          <w:rFonts w:cstheme="minorHAnsi"/>
          <w:i/>
          <w:sz w:val="18"/>
        </w:rPr>
        <w:t>SDCD</w:t>
      </w:r>
      <w:r>
        <w:rPr>
          <w:rFonts w:cstheme="minorHAnsi"/>
          <w:i/>
          <w:sz w:val="18"/>
        </w:rPr>
        <w:t xml:space="preserve"> por meio de cabos de fibra óptica</w:t>
      </w:r>
      <w:r w:rsidRPr="008B68AD">
        <w:rPr>
          <w:rFonts w:cstheme="minorHAnsi"/>
          <w:i/>
          <w:sz w:val="18"/>
        </w:rPr>
        <w:t xml:space="preserve"> (</w:t>
      </w:r>
      <w:r>
        <w:rPr>
          <w:rFonts w:cstheme="minorHAnsi"/>
          <w:i/>
          <w:sz w:val="18"/>
        </w:rPr>
        <w:t>P</w:t>
      </w:r>
      <w:r w:rsidRPr="008B68AD">
        <w:rPr>
          <w:rFonts w:cstheme="minorHAnsi"/>
          <w:i/>
          <w:sz w:val="18"/>
        </w:rPr>
        <w:t xml:space="preserve">lanta </w:t>
      </w:r>
      <w:r>
        <w:rPr>
          <w:rFonts w:cstheme="minorHAnsi"/>
          <w:i/>
          <w:sz w:val="18"/>
        </w:rPr>
        <w:t xml:space="preserve">de petróleo </w:t>
      </w:r>
      <w:r w:rsidRPr="008B68AD">
        <w:rPr>
          <w:rFonts w:cstheme="minorHAnsi"/>
          <w:i/>
          <w:sz w:val="18"/>
        </w:rPr>
        <w:t xml:space="preserve">no Brasil na década de </w:t>
      </w:r>
      <w:r w:rsidRPr="000A558A">
        <w:rPr>
          <w:rFonts w:cstheme="minorHAnsi"/>
          <w:b/>
          <w:i/>
          <w:sz w:val="18"/>
        </w:rPr>
        <w:t>20</w:t>
      </w:r>
      <w:r>
        <w:rPr>
          <w:rFonts w:cstheme="minorHAnsi"/>
          <w:b/>
          <w:i/>
          <w:sz w:val="18"/>
        </w:rPr>
        <w:t>1</w:t>
      </w:r>
      <w:r w:rsidRPr="000A558A">
        <w:rPr>
          <w:rFonts w:cstheme="minorHAnsi"/>
          <w:b/>
          <w:i/>
          <w:sz w:val="18"/>
        </w:rPr>
        <w:t>0</w:t>
      </w:r>
      <w:r w:rsidRPr="008B68AD">
        <w:rPr>
          <w:rFonts w:cstheme="minorHAnsi"/>
          <w:i/>
          <w:sz w:val="18"/>
        </w:rPr>
        <w:t>)</w:t>
      </w:r>
    </w:p>
    <w:p w14:paraId="1F97239B" w14:textId="6873C860" w:rsidR="009B6612" w:rsidRDefault="009B6612"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tbl>
      <w:tblPr>
        <w:tblStyle w:val="Tabelacomgrade"/>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466"/>
      </w:tblGrid>
      <w:tr w:rsidR="00784BF7" w14:paraId="1EDA99A0" w14:textId="77777777" w:rsidTr="00374EB9">
        <w:tc>
          <w:tcPr>
            <w:tcW w:w="4248" w:type="dxa"/>
            <w:vAlign w:val="center"/>
          </w:tcPr>
          <w:p w14:paraId="6DC9A00F" w14:textId="2E21FB1D" w:rsidR="00784BF7" w:rsidRDefault="00784BF7" w:rsidP="0074225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drawing>
                <wp:inline distT="0" distB="0" distL="0" distR="0" wp14:anchorId="68AB55D5" wp14:editId="79B9DB9F">
                  <wp:extent cx="2461895" cy="2536723"/>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cstate="screen">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a:ext>
                            </a:extLst>
                          </a:blip>
                          <a:srcRect t="-2698"/>
                          <a:stretch/>
                        </pic:blipFill>
                        <pic:spPr bwMode="auto">
                          <a:xfrm>
                            <a:off x="0" y="0"/>
                            <a:ext cx="2510150" cy="25864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66" w:type="dxa"/>
            <w:vAlign w:val="center"/>
          </w:tcPr>
          <w:p w14:paraId="6B0E4E31" w14:textId="75797404" w:rsidR="00784BF7" w:rsidRDefault="00784BF7" w:rsidP="0074225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Pr>
                <w:noProof/>
              </w:rPr>
              <w:drawing>
                <wp:inline distT="0" distB="0" distL="0" distR="0" wp14:anchorId="4F64AA53" wp14:editId="60E6AA2B">
                  <wp:extent cx="3328652" cy="3176337"/>
                  <wp:effectExtent l="0" t="0" r="5715" b="508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3354428" cy="3200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4BF7" w14:paraId="2C679C5C" w14:textId="77777777" w:rsidTr="00374EB9">
        <w:tc>
          <w:tcPr>
            <w:tcW w:w="4248" w:type="dxa"/>
            <w:vAlign w:val="center"/>
          </w:tcPr>
          <w:p w14:paraId="43445149" w14:textId="62BA8380" w:rsidR="00784BF7" w:rsidRDefault="00784BF7" w:rsidP="0074225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8B68AD">
              <w:rPr>
                <w:rFonts w:cstheme="minorHAnsi"/>
                <w:i/>
                <w:sz w:val="18"/>
              </w:rPr>
              <w:t xml:space="preserve">Exemplo de instalação de fonte de alimentação de </w:t>
            </w:r>
            <w:r w:rsidRPr="008B68AD">
              <w:rPr>
                <w:rFonts w:cstheme="minorHAnsi"/>
                <w:b/>
                <w:i/>
                <w:sz w:val="18"/>
              </w:rPr>
              <w:t>Field Bus intrinsecamente seguro</w:t>
            </w:r>
            <w:r w:rsidRPr="008B68AD">
              <w:rPr>
                <w:rFonts w:cstheme="minorHAnsi"/>
                <w:i/>
                <w:sz w:val="18"/>
              </w:rPr>
              <w:t xml:space="preserve"> (</w:t>
            </w:r>
            <w:r w:rsidRPr="00EE1BA4">
              <w:rPr>
                <w:rFonts w:cstheme="minorHAnsi"/>
                <w:b/>
                <w:i/>
                <w:sz w:val="18"/>
              </w:rPr>
              <w:t>FISCO</w:t>
            </w:r>
            <w:r>
              <w:rPr>
                <w:rFonts w:cstheme="minorHAnsi"/>
                <w:i/>
                <w:sz w:val="18"/>
              </w:rPr>
              <w:t xml:space="preserve"> – Fieldbus </w:t>
            </w:r>
            <w:r w:rsidRPr="00EE1BA4">
              <w:rPr>
                <w:rFonts w:cstheme="minorHAnsi"/>
                <w:i/>
                <w:sz w:val="18"/>
              </w:rPr>
              <w:t>Intrinsically</w:t>
            </w:r>
            <w:r>
              <w:rPr>
                <w:rFonts w:cstheme="minorHAnsi"/>
                <w:i/>
                <w:sz w:val="18"/>
              </w:rPr>
              <w:t xml:space="preserve"> Safe Concept</w:t>
            </w:r>
            <w:r w:rsidRPr="008B68AD">
              <w:rPr>
                <w:rFonts w:cstheme="minorHAnsi"/>
                <w:i/>
                <w:sz w:val="18"/>
              </w:rPr>
              <w:t>), montad</w:t>
            </w:r>
            <w:r>
              <w:rPr>
                <w:rFonts w:cstheme="minorHAnsi"/>
                <w:i/>
                <w:sz w:val="18"/>
              </w:rPr>
              <w:t>a</w:t>
            </w:r>
            <w:r w:rsidRPr="008B68AD">
              <w:rPr>
                <w:rFonts w:cstheme="minorHAnsi"/>
                <w:i/>
                <w:sz w:val="18"/>
              </w:rPr>
              <w:t xml:space="preserve"> no interior de painel de rearranjo</w:t>
            </w:r>
            <w:r>
              <w:rPr>
                <w:rFonts w:cstheme="minorHAnsi"/>
                <w:i/>
                <w:sz w:val="18"/>
              </w:rPr>
              <w:t xml:space="preserve"> de SDCD</w:t>
            </w:r>
            <w:r w:rsidRPr="008B68AD">
              <w:rPr>
                <w:rFonts w:cstheme="minorHAnsi"/>
                <w:i/>
                <w:sz w:val="18"/>
              </w:rPr>
              <w:t>, em área não classificada (</w:t>
            </w:r>
            <w:r>
              <w:rPr>
                <w:rFonts w:cstheme="minorHAnsi"/>
                <w:i/>
                <w:sz w:val="18"/>
              </w:rPr>
              <w:t>P</w:t>
            </w:r>
            <w:r w:rsidRPr="008B68AD">
              <w:rPr>
                <w:rFonts w:cstheme="minorHAnsi"/>
                <w:i/>
                <w:sz w:val="18"/>
              </w:rPr>
              <w:t xml:space="preserve">lanta </w:t>
            </w:r>
            <w:r>
              <w:rPr>
                <w:rFonts w:cstheme="minorHAnsi"/>
                <w:i/>
                <w:sz w:val="18"/>
              </w:rPr>
              <w:t>de petróleo</w:t>
            </w:r>
            <w:r w:rsidRPr="008B68AD">
              <w:rPr>
                <w:rFonts w:cstheme="minorHAnsi"/>
                <w:i/>
                <w:sz w:val="18"/>
              </w:rPr>
              <w:t xml:space="preserve"> no Brasil na década de </w:t>
            </w:r>
            <w:r w:rsidRPr="000A558A">
              <w:rPr>
                <w:rFonts w:cstheme="minorHAnsi"/>
                <w:b/>
                <w:i/>
                <w:sz w:val="18"/>
              </w:rPr>
              <w:t>20</w:t>
            </w:r>
            <w:r>
              <w:rPr>
                <w:rFonts w:cstheme="minorHAnsi"/>
                <w:b/>
                <w:i/>
                <w:sz w:val="18"/>
              </w:rPr>
              <w:t>1</w:t>
            </w:r>
            <w:r w:rsidRPr="000A558A">
              <w:rPr>
                <w:rFonts w:cstheme="minorHAnsi"/>
                <w:b/>
                <w:i/>
                <w:sz w:val="18"/>
              </w:rPr>
              <w:t>0</w:t>
            </w:r>
            <w:r w:rsidRPr="008B68AD">
              <w:rPr>
                <w:rFonts w:cstheme="minorHAnsi"/>
                <w:i/>
                <w:sz w:val="18"/>
              </w:rPr>
              <w:t>)</w:t>
            </w:r>
          </w:p>
        </w:tc>
        <w:tc>
          <w:tcPr>
            <w:tcW w:w="5466" w:type="dxa"/>
            <w:vAlign w:val="center"/>
          </w:tcPr>
          <w:p w14:paraId="2EEF4645" w14:textId="308B153D" w:rsidR="00784BF7" w:rsidRDefault="00784BF7" w:rsidP="0074225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CE1018">
              <w:rPr>
                <w:rFonts w:cstheme="minorHAnsi"/>
                <w:i/>
                <w:sz w:val="18"/>
              </w:rPr>
              <w:t xml:space="preserve">Exemplo de instalação de equipamentos </w:t>
            </w:r>
            <w:r w:rsidRPr="00CE1018">
              <w:rPr>
                <w:rFonts w:cstheme="minorHAnsi"/>
                <w:b/>
                <w:i/>
                <w:sz w:val="18"/>
              </w:rPr>
              <w:t>associados</w:t>
            </w:r>
            <w:r w:rsidRPr="00CE1018">
              <w:rPr>
                <w:rFonts w:cstheme="minorHAnsi"/>
                <w:i/>
                <w:sz w:val="18"/>
              </w:rPr>
              <w:t xml:space="preserve"> intrinsecamente seguros </w:t>
            </w:r>
            <w:r w:rsidRPr="00CE1018">
              <w:rPr>
                <w:rFonts w:cstheme="minorHAnsi"/>
                <w:b/>
                <w:i/>
                <w:sz w:val="18"/>
              </w:rPr>
              <w:t>[Ex “i”]</w:t>
            </w:r>
            <w:r w:rsidRPr="00CE1018">
              <w:rPr>
                <w:rFonts w:cstheme="minorHAnsi"/>
                <w:i/>
                <w:sz w:val="18"/>
              </w:rPr>
              <w:t>, com isolação galvânica, montados no interior</w:t>
            </w:r>
            <w:r>
              <w:rPr>
                <w:rFonts w:cstheme="minorHAnsi"/>
                <w:i/>
                <w:sz w:val="18"/>
              </w:rPr>
              <w:t xml:space="preserve"> de painel de rearranjo de SDCD, em área não classificada (Planta de petróleo no Brasil na década de </w:t>
            </w:r>
            <w:r>
              <w:rPr>
                <w:rFonts w:cstheme="minorHAnsi"/>
                <w:b/>
                <w:i/>
                <w:sz w:val="18"/>
              </w:rPr>
              <w:t>2010</w:t>
            </w:r>
            <w:r>
              <w:rPr>
                <w:rFonts w:cstheme="minorHAnsi"/>
                <w:i/>
                <w:sz w:val="18"/>
              </w:rPr>
              <w:t>)</w:t>
            </w:r>
          </w:p>
        </w:tc>
      </w:tr>
    </w:tbl>
    <w:p w14:paraId="2B9DBBC5" w14:textId="5D393621" w:rsidR="00784BF7" w:rsidRDefault="00784BF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4D2A923" w14:textId="34310256" w:rsidR="00287248" w:rsidRDefault="00287248" w:rsidP="00287248">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287248">
        <w:rPr>
          <w:rFonts w:cstheme="minorHAnsi"/>
          <w:noProof/>
        </w:rPr>
        <w:lastRenderedPageBreak/>
        <w:drawing>
          <wp:inline distT="0" distB="0" distL="0" distR="0" wp14:anchorId="573376B5" wp14:editId="1D941151">
            <wp:extent cx="5519093" cy="3315106"/>
            <wp:effectExtent l="19050" t="19050" r="24765" b="190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a:off x="0" y="0"/>
                      <a:ext cx="5565083" cy="3342730"/>
                    </a:xfrm>
                    <a:prstGeom prst="rect">
                      <a:avLst/>
                    </a:prstGeom>
                    <a:ln>
                      <a:solidFill>
                        <a:schemeClr val="tx1"/>
                      </a:solidFill>
                    </a:ln>
                  </pic:spPr>
                </pic:pic>
              </a:graphicData>
            </a:graphic>
          </wp:inline>
        </w:drawing>
      </w:r>
    </w:p>
    <w:p w14:paraId="56510F30" w14:textId="7EC09A4C" w:rsidR="00287248" w:rsidRDefault="00287248"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C8154C2" w14:textId="29CF7C77" w:rsidR="00287248" w:rsidRPr="008B68AD" w:rsidRDefault="00287248" w:rsidP="00287248">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8B68AD">
        <w:rPr>
          <w:rFonts w:cstheme="minorHAnsi"/>
          <w:i/>
          <w:sz w:val="18"/>
        </w:rPr>
        <w:t>Exemplo de instalação de</w:t>
      </w:r>
      <w:r>
        <w:rPr>
          <w:rFonts w:cstheme="minorHAnsi"/>
          <w:i/>
          <w:sz w:val="18"/>
        </w:rPr>
        <w:t xml:space="preserve"> instrumentos intrinsecamente seguros</w:t>
      </w:r>
      <w:r w:rsidR="00202A13">
        <w:rPr>
          <w:rFonts w:cstheme="minorHAnsi"/>
          <w:i/>
          <w:sz w:val="18"/>
        </w:rPr>
        <w:t xml:space="preserve"> (Ex “i”)</w:t>
      </w:r>
      <w:r>
        <w:rPr>
          <w:rFonts w:cstheme="minorHAnsi"/>
          <w:i/>
          <w:sz w:val="18"/>
        </w:rPr>
        <w:t xml:space="preserve">, caixa de junção </w:t>
      </w:r>
      <w:r w:rsidR="00202A13">
        <w:rPr>
          <w:rFonts w:cstheme="minorHAnsi"/>
          <w:i/>
          <w:sz w:val="18"/>
        </w:rPr>
        <w:t>do tipo segurança aumentada (</w:t>
      </w:r>
      <w:r>
        <w:rPr>
          <w:rFonts w:cstheme="minorHAnsi"/>
          <w:i/>
          <w:sz w:val="18"/>
        </w:rPr>
        <w:t>Ex “e”</w:t>
      </w:r>
      <w:r w:rsidR="00202A13">
        <w:rPr>
          <w:rFonts w:cstheme="minorHAnsi"/>
          <w:i/>
          <w:sz w:val="18"/>
        </w:rPr>
        <w:t>)</w:t>
      </w:r>
      <w:r>
        <w:rPr>
          <w:rFonts w:cstheme="minorHAnsi"/>
          <w:i/>
          <w:sz w:val="18"/>
        </w:rPr>
        <w:t xml:space="preserve"> e cabos dos circuitos de interconexão</w:t>
      </w:r>
      <w:r w:rsidRPr="008B68AD">
        <w:rPr>
          <w:rFonts w:cstheme="minorHAnsi"/>
          <w:i/>
          <w:sz w:val="18"/>
        </w:rPr>
        <w:t>, montad</w:t>
      </w:r>
      <w:r>
        <w:rPr>
          <w:rFonts w:cstheme="minorHAnsi"/>
          <w:i/>
          <w:sz w:val="18"/>
        </w:rPr>
        <w:t>as</w:t>
      </w:r>
      <w:r w:rsidRPr="008B68AD">
        <w:rPr>
          <w:rFonts w:cstheme="minorHAnsi"/>
          <w:i/>
          <w:sz w:val="18"/>
        </w:rPr>
        <w:t xml:space="preserve"> em área não classificada (</w:t>
      </w:r>
      <w:r>
        <w:rPr>
          <w:rFonts w:cstheme="minorHAnsi"/>
          <w:i/>
          <w:sz w:val="18"/>
        </w:rPr>
        <w:t>P</w:t>
      </w:r>
      <w:r w:rsidRPr="008B68AD">
        <w:rPr>
          <w:rFonts w:cstheme="minorHAnsi"/>
          <w:i/>
          <w:sz w:val="18"/>
        </w:rPr>
        <w:t xml:space="preserve">lanta </w:t>
      </w:r>
      <w:r>
        <w:rPr>
          <w:rFonts w:cstheme="minorHAnsi"/>
          <w:i/>
          <w:sz w:val="18"/>
        </w:rPr>
        <w:t>de petróleo</w:t>
      </w:r>
      <w:r w:rsidRPr="008B68AD">
        <w:rPr>
          <w:rFonts w:cstheme="minorHAnsi"/>
          <w:i/>
          <w:sz w:val="18"/>
        </w:rPr>
        <w:t xml:space="preserve"> no Brasil na década de </w:t>
      </w:r>
      <w:r w:rsidRPr="000A558A">
        <w:rPr>
          <w:rFonts w:cstheme="minorHAnsi"/>
          <w:b/>
          <w:i/>
          <w:sz w:val="18"/>
        </w:rPr>
        <w:t>20</w:t>
      </w:r>
      <w:r>
        <w:rPr>
          <w:rFonts w:cstheme="minorHAnsi"/>
          <w:b/>
          <w:i/>
          <w:sz w:val="18"/>
        </w:rPr>
        <w:t>1</w:t>
      </w:r>
      <w:r w:rsidRPr="000A558A">
        <w:rPr>
          <w:rFonts w:cstheme="minorHAnsi"/>
          <w:b/>
          <w:i/>
          <w:sz w:val="18"/>
        </w:rPr>
        <w:t>0</w:t>
      </w:r>
      <w:r w:rsidRPr="008B68AD">
        <w:rPr>
          <w:rFonts w:cstheme="minorHAnsi"/>
          <w:i/>
          <w:sz w:val="18"/>
        </w:rPr>
        <w:t>)</w:t>
      </w:r>
    </w:p>
    <w:p w14:paraId="289D618E" w14:textId="77777777" w:rsidR="00287248" w:rsidRDefault="00287248" w:rsidP="00287248">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2F4BFD2" w14:textId="77777777" w:rsidR="00287248" w:rsidRPr="0088664A" w:rsidRDefault="00287248"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0975F9D" w14:textId="77777777" w:rsidR="00FD6CC9" w:rsidRPr="006A7498" w:rsidRDefault="00FD6CC9" w:rsidP="0088664A">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A segurança intrínseca de potência – Power “i”</w:t>
      </w:r>
      <w:r w:rsidR="00D6606B" w:rsidRPr="006A7498">
        <w:rPr>
          <w:rFonts w:cstheme="minorHAnsi"/>
          <w:b/>
          <w:bCs/>
          <w:sz w:val="24"/>
        </w:rPr>
        <w:t xml:space="preserve"> - ABNT </w:t>
      </w:r>
      <w:r w:rsidR="007102A5" w:rsidRPr="006A7498">
        <w:rPr>
          <w:rFonts w:cstheme="minorHAnsi"/>
          <w:b/>
          <w:bCs/>
          <w:sz w:val="24"/>
        </w:rPr>
        <w:t xml:space="preserve">IEC </w:t>
      </w:r>
      <w:r w:rsidR="00D6606B" w:rsidRPr="006A7498">
        <w:rPr>
          <w:rFonts w:cstheme="minorHAnsi"/>
          <w:b/>
          <w:bCs/>
          <w:sz w:val="24"/>
        </w:rPr>
        <w:t>TS 60079-39</w:t>
      </w:r>
    </w:p>
    <w:p w14:paraId="27832CE6"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C0A5EC3" w14:textId="4F06E39E"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Foi publicada pela ABNT em </w:t>
      </w:r>
      <w:r w:rsidRPr="009562EA">
        <w:rPr>
          <w:rFonts w:cstheme="minorHAnsi"/>
          <w:b/>
        </w:rPr>
        <w:t>31/01/2019</w:t>
      </w:r>
      <w:r w:rsidRPr="009562EA">
        <w:rPr>
          <w:rFonts w:cstheme="minorHAnsi"/>
        </w:rPr>
        <w:t xml:space="preserve">, a </w:t>
      </w:r>
      <w:r w:rsidRPr="009562EA">
        <w:rPr>
          <w:rFonts w:cstheme="minorHAnsi"/>
          <w:b/>
          <w:bCs/>
        </w:rPr>
        <w:t>ABNT IEC TS 60079-39 - Atmosferas explosivas – Parte 39: Sistemas intrinsecamente seguros com limitação de duração de centelha controlada eletronicamente (Power “i”).</w:t>
      </w:r>
      <w:r w:rsidR="00F47DB6">
        <w:rPr>
          <w:rFonts w:cstheme="minorHAnsi"/>
          <w:b/>
          <w:bCs/>
        </w:rPr>
        <w:t xml:space="preserve"> </w:t>
      </w:r>
      <w:r w:rsidRPr="009562EA">
        <w:rPr>
          <w:rFonts w:cstheme="minorHAnsi"/>
        </w:rPr>
        <w:t xml:space="preserve">Esta Parte da </w:t>
      </w:r>
      <w:r w:rsidRPr="009562EA">
        <w:rPr>
          <w:rFonts w:cstheme="minorHAnsi"/>
          <w:b/>
        </w:rPr>
        <w:t>Série ABNT NBR IEC 60079</w:t>
      </w:r>
      <w:r w:rsidRPr="009562EA">
        <w:rPr>
          <w:rFonts w:cstheme="minorHAnsi"/>
        </w:rPr>
        <w:t xml:space="preserve"> (Atmosferas explosivas), publicada inicialmente na forma de uma Especificação Técnica, está sendo emitida como uma “norma prospectiva para aplicação provisória” no campo de Atmosferas Explosivas - </w:t>
      </w:r>
      <w:r w:rsidRPr="009562EA">
        <w:rPr>
          <w:rFonts w:cstheme="minorHAnsi"/>
          <w:b/>
        </w:rPr>
        <w:t xml:space="preserve">Sistemas intrinsecamente seguros com </w:t>
      </w:r>
      <w:r w:rsidRPr="009562EA">
        <w:rPr>
          <w:rFonts w:cstheme="minorHAnsi"/>
          <w:b/>
          <w:u w:val="single"/>
        </w:rPr>
        <w:t>limitação de duração de centelha</w:t>
      </w:r>
      <w:r w:rsidRPr="009562EA">
        <w:rPr>
          <w:rFonts w:cstheme="minorHAnsi"/>
          <w:b/>
        </w:rPr>
        <w:t xml:space="preserve"> controlada eletronicamente</w:t>
      </w:r>
      <w:r w:rsidRPr="009562EA">
        <w:rPr>
          <w:rFonts w:cstheme="minorHAnsi"/>
        </w:rPr>
        <w:t>, devido ao fato de haver uma necessidade para orientação de como é recomendado que as normas neste campo relacionado com equipamentos, circuitos e sistemas intrinsecamente seguros sejam utilizadas para atender a necessidades identificadas na área relacionada com equipamentos e instalações em atmosferas explosivas contendo gases inflamáveis e poeiras combustíveis.</w:t>
      </w:r>
    </w:p>
    <w:p w14:paraId="64E251C7"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96831B5"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Esta Parte da Série ABNT NBR IEC 60079, que se apresenta inicialmente na forma de uma “Especificação Técnica”, está sendo publicada como base para uma “futura” norma no campo de sistemas intrinsecamente seguros com limitação de duração de centelha eletronicamente controlada – </w:t>
      </w:r>
      <w:r w:rsidRPr="009562EA">
        <w:rPr>
          <w:rFonts w:cstheme="minorHAnsi"/>
          <w:b/>
          <w:i/>
        </w:rPr>
        <w:t>Power “i”</w:t>
      </w:r>
      <w:r w:rsidRPr="009562EA">
        <w:rPr>
          <w:rFonts w:cstheme="minorHAnsi"/>
        </w:rPr>
        <w:t>. A motivação para a elaboração destes novos requisitos teve como base a necessidade o estabelecimento de orientações básicas relacionados esta tecnologia, a serem utilizadas de forma “normativa” pelos diferentes fabricantes, laboratórios de ensaios e organismos de certificação, de forma a atingir uma instalação “Ex” segura.</w:t>
      </w:r>
    </w:p>
    <w:p w14:paraId="0D47D49C"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7B40EB6"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Sistemas intrinsecamente seguros com limitação de duração de centelha controlada eletronicamente podem fornecer </w:t>
      </w:r>
      <w:r w:rsidRPr="009562EA">
        <w:rPr>
          <w:rFonts w:cstheme="minorHAnsi"/>
          <w:b/>
        </w:rPr>
        <w:t>mais potência disponível</w:t>
      </w:r>
      <w:r w:rsidRPr="009562EA">
        <w:rPr>
          <w:rFonts w:cstheme="minorHAnsi"/>
        </w:rPr>
        <w:t xml:space="preserve"> em circuitos intrinsecamente seguros mantendo os níveis de proteção “ib” ou “ic”. Adicionalmente, para limitar a tensão e corrente (similar a circuitos intrinsecamente seguros “convencionais”), a </w:t>
      </w:r>
      <w:r w:rsidRPr="009562EA">
        <w:rPr>
          <w:rFonts w:cstheme="minorHAnsi"/>
          <w:b/>
        </w:rPr>
        <w:t>duração</w:t>
      </w:r>
      <w:r w:rsidRPr="009562EA">
        <w:rPr>
          <w:rFonts w:cstheme="minorHAnsi"/>
        </w:rPr>
        <w:t xml:space="preserve"> da centelha é eletronicamente </w:t>
      </w:r>
      <w:r w:rsidRPr="009562EA">
        <w:rPr>
          <w:rFonts w:cstheme="minorHAnsi"/>
          <w:b/>
        </w:rPr>
        <w:t>limitada</w:t>
      </w:r>
      <w:r w:rsidRPr="009562EA">
        <w:rPr>
          <w:rFonts w:cstheme="minorHAnsi"/>
        </w:rPr>
        <w:t>, o que também restringe a quantidade de energia disponível para ignição. Esta nova tecnologia permite uma expansão no campo de aplicações industriais utilizando o tipo de proteção Segurança Intrínseca “i”, requer uma nova e extensiva abordagem do tipo de proteção por Segurança Intrínseca “i”.</w:t>
      </w:r>
    </w:p>
    <w:p w14:paraId="71A50BC5"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3C1727C"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A </w:t>
      </w:r>
      <w:r w:rsidRPr="009562EA">
        <w:rPr>
          <w:rFonts w:cstheme="minorHAnsi"/>
          <w:b/>
        </w:rPr>
        <w:t>ABNT IEC TS 60079-39</w:t>
      </w:r>
      <w:r w:rsidRPr="009562EA">
        <w:rPr>
          <w:rFonts w:cstheme="minorHAnsi"/>
        </w:rPr>
        <w:t xml:space="preserve"> especifica os requisitos para o projeto, ensaios, instalação e manutenção de equipamentos e sistemas “</w:t>
      </w:r>
      <w:r w:rsidRPr="009562EA">
        <w:rPr>
          <w:rFonts w:cstheme="minorHAnsi"/>
          <w:i/>
        </w:rPr>
        <w:t>Power-i</w:t>
      </w:r>
      <w:r w:rsidRPr="009562EA">
        <w:rPr>
          <w:rFonts w:cstheme="minorHAnsi"/>
        </w:rPr>
        <w:t xml:space="preserve">” que aplicam limitação da </w:t>
      </w:r>
      <w:r w:rsidRPr="009562EA">
        <w:rPr>
          <w:rFonts w:cstheme="minorHAnsi"/>
          <w:b/>
        </w:rPr>
        <w:t>duração da centelha controlada eletronicamente</w:t>
      </w:r>
      <w:r w:rsidRPr="009562EA">
        <w:rPr>
          <w:rFonts w:cstheme="minorHAnsi"/>
        </w:rPr>
        <w:t xml:space="preserve"> para manter um nível adequado de segurança intrínseca. A ABNT IEC TS 60079-39 contém requisitos para equipamentos intrinsecamente seguros e cabeamento a serem utilizados em atmosferas explosivas bem como para equipamentos associados projetados para serem conectados a circuitos intrinsecamente seguros instalados em áreas classificadas. Esta primeira edição a ABNT IEC TS 60079-39 não incluiu o nível de proteção “ia” (que seria aplicável para áreas classificadas dos tipos Zona 0 ou Zona 20) e a utilização de circuitos “</w:t>
      </w:r>
      <w:r w:rsidRPr="009562EA">
        <w:rPr>
          <w:rFonts w:cstheme="minorHAnsi"/>
          <w:i/>
        </w:rPr>
        <w:t>Power-i</w:t>
      </w:r>
      <w:r w:rsidRPr="009562EA">
        <w:rPr>
          <w:rFonts w:cstheme="minorHAnsi"/>
        </w:rPr>
        <w:t xml:space="preserve">” controlados por </w:t>
      </w:r>
      <w:r w:rsidRPr="009562EA">
        <w:rPr>
          <w:rFonts w:cstheme="minorHAnsi"/>
          <w:i/>
        </w:rPr>
        <w:t>software</w:t>
      </w:r>
      <w:r w:rsidRPr="009562EA">
        <w:rPr>
          <w:rFonts w:cstheme="minorHAnsi"/>
        </w:rPr>
        <w:t xml:space="preserve">. </w:t>
      </w:r>
    </w:p>
    <w:p w14:paraId="0F51EADF"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4AC2F19"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O tipo de proteção “</w:t>
      </w:r>
      <w:r w:rsidRPr="009562EA">
        <w:rPr>
          <w:rFonts w:cstheme="minorHAnsi"/>
          <w:b/>
          <w:i/>
        </w:rPr>
        <w:t>Power-i</w:t>
      </w:r>
      <w:r w:rsidRPr="009562EA">
        <w:rPr>
          <w:rFonts w:cstheme="minorHAnsi"/>
        </w:rPr>
        <w:t>” é aplicável aos equipamentos eletrônicos nos quais os próprios circuitos elétricos são incapazes de causar uma explosão da atmosfera explosiva no entorno. Este tipo de proteção é aplicável a equipamentos elétricos nos quais os seus próprios circuitos elétricos são incapazes de causar uma ignição da atmosfera explosiva que esteja presente ao redor. Esta Especificação Técnica é aplicável a equipamentos e sistemas que utilizam sistemas de limitação de duração de centelhas eletronicamente controlada com o objetivo de permitir um nível mais elevado de potência e ao mesmo tempo mantendo um nível adequado de segurança.</w:t>
      </w:r>
    </w:p>
    <w:p w14:paraId="6C97B3DC"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2DC00B3" w14:textId="512AE4E3"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Os requisitos gerais para a instalação de equipamentos intrinsecamente seguros são aplicáveis para os circuitos do tipo Power “i”. Esta nova tecnologia permite uma expansão no campo de aplicações industriais que utilizem o tipo de proteção Ex “i”. No entanto, esta tecnologia requer a aplicação de </w:t>
      </w:r>
      <w:r w:rsidRPr="009562EA">
        <w:rPr>
          <w:rFonts w:cstheme="minorHAnsi"/>
          <w:b/>
        </w:rPr>
        <w:t>novas e de mais elaboradas abordagens</w:t>
      </w:r>
      <w:r w:rsidRPr="009562EA">
        <w:rPr>
          <w:rFonts w:cstheme="minorHAnsi"/>
        </w:rPr>
        <w:t xml:space="preserve"> em relação ao “tradicional” tipo de proteção Ex “i”, a qual encontra em contínuo desenvolvimento desde </w:t>
      </w:r>
      <w:r w:rsidRPr="009562EA">
        <w:rPr>
          <w:rFonts w:cstheme="minorHAnsi"/>
          <w:b/>
        </w:rPr>
        <w:t>1913</w:t>
      </w:r>
      <w:r w:rsidRPr="009562EA">
        <w:rPr>
          <w:rFonts w:cstheme="minorHAnsi"/>
        </w:rPr>
        <w:t>, portanto há mais de cem anos, em decorrência dos avanços tecnológicos na área de eletrônica e circuitos digitais.</w:t>
      </w:r>
    </w:p>
    <w:p w14:paraId="1D139D95" w14:textId="0E4AED48"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D1D0069" w14:textId="77777777" w:rsidR="00374EB9" w:rsidRDefault="00742254" w:rsidP="00374EB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9562EA">
        <w:rPr>
          <w:rFonts w:cstheme="minorHAnsi"/>
          <w:noProof/>
        </w:rPr>
        <w:drawing>
          <wp:inline distT="0" distB="0" distL="0" distR="0" wp14:anchorId="32BDA69F" wp14:editId="14FF0193">
            <wp:extent cx="5932764" cy="3724275"/>
            <wp:effectExtent l="19050" t="19050" r="11430" b="9525"/>
            <wp:docPr id="3543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08" name="Imagem 1"/>
                    <pic:cNvPicPr>
                      <a:picLocks noChangeAspect="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5973806" cy="3750039"/>
                    </a:xfrm>
                    <a:prstGeom prst="rect">
                      <a:avLst/>
                    </a:prstGeom>
                    <a:noFill/>
                    <a:ln w="9525">
                      <a:solidFill>
                        <a:srgbClr val="000000"/>
                      </a:solidFill>
                      <a:miter lim="800000"/>
                      <a:headEnd/>
                      <a:tailEnd/>
                    </a:ln>
                    <a:extLst/>
                  </pic:spPr>
                </pic:pic>
              </a:graphicData>
            </a:graphic>
          </wp:inline>
        </w:drawing>
      </w:r>
    </w:p>
    <w:p w14:paraId="7230B300" w14:textId="77777777" w:rsidR="00374EB9" w:rsidRDefault="00374EB9"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4912CB5" w14:textId="7CA572C4"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A principal vantagem da tecnologia </w:t>
      </w:r>
      <w:r w:rsidRPr="009562EA">
        <w:rPr>
          <w:rFonts w:cstheme="minorHAnsi"/>
          <w:b/>
          <w:i/>
        </w:rPr>
        <w:t>Power-i</w:t>
      </w:r>
      <w:r w:rsidRPr="009562EA">
        <w:rPr>
          <w:rFonts w:cstheme="minorHAnsi"/>
        </w:rPr>
        <w:t xml:space="preserve"> em relação à segurança intrínseca “</w:t>
      </w:r>
      <w:r w:rsidRPr="009562EA">
        <w:rPr>
          <w:rFonts w:cstheme="minorHAnsi"/>
          <w:b/>
        </w:rPr>
        <w:t>tradicional</w:t>
      </w:r>
      <w:r w:rsidRPr="009562EA">
        <w:rPr>
          <w:rFonts w:cstheme="minorHAnsi"/>
        </w:rPr>
        <w:t xml:space="preserve">” é que uma </w:t>
      </w:r>
      <w:r w:rsidRPr="009562EA">
        <w:rPr>
          <w:rFonts w:cstheme="minorHAnsi"/>
          <w:b/>
        </w:rPr>
        <w:t>potência ativa mais elevada</w:t>
      </w:r>
      <w:r w:rsidRPr="009562EA">
        <w:rPr>
          <w:rFonts w:cstheme="minorHAnsi"/>
        </w:rPr>
        <w:t xml:space="preserve"> pode ser utilizada em atmosferas explosivas, mantendo todas as características de proteção da segurança intrínseca. Isto significa que, por exemplo, os serviços de manutenção e montagem podem ser realizados com um nível bem mais elevado de energia durante a operação normal do circuito, sem a necessidade de elaboração e emissão de uma permissão de trabalho em circuitos desenergizados.</w:t>
      </w:r>
    </w:p>
    <w:p w14:paraId="206CCB7C" w14:textId="5BF0A746"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8C72293" w14:textId="069A6096"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Tradicionalmente, a fim de evitar, de forma segura, a ocorrência de uma centelha que seja capaz de provocar uma ignição, a potência disponível no circuito é limitada a um valor de aproximadamente </w:t>
      </w:r>
      <w:r w:rsidRPr="009562EA">
        <w:rPr>
          <w:rFonts w:cstheme="minorHAnsi"/>
          <w:b/>
        </w:rPr>
        <w:t>2 W</w:t>
      </w:r>
      <w:r w:rsidRPr="009562EA">
        <w:rPr>
          <w:rFonts w:cstheme="minorHAnsi"/>
        </w:rPr>
        <w:t xml:space="preserve">. Assim sendo, o tipo de proteção Ex “i” é tipicamente limitado a áreas de instrumentação e alimentação de sensores, transmissores e atuadores, com baixas cargas conectadas. Em circuitos protegidos pelo Power-i, os dispositivos de campo, instalados em atmosferas explosivas, com um consumo de potência de até cerca de </w:t>
      </w:r>
      <w:r w:rsidRPr="009562EA">
        <w:rPr>
          <w:rFonts w:cstheme="minorHAnsi"/>
          <w:b/>
        </w:rPr>
        <w:t>50 W</w:t>
      </w:r>
      <w:r w:rsidRPr="009562EA">
        <w:rPr>
          <w:rFonts w:cstheme="minorHAnsi"/>
        </w:rPr>
        <w:t xml:space="preserve"> podem ser alimentados sob os requisitos da segurança intrínseca. </w:t>
      </w:r>
    </w:p>
    <w:p w14:paraId="5A8622AA"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B68114D"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Sob condições normais de operação destes circuitos Power-i, a corrente elétrica circula sem restrições. O sistema </w:t>
      </w:r>
      <w:r w:rsidRPr="009562EA">
        <w:rPr>
          <w:rFonts w:cstheme="minorHAnsi"/>
          <w:b/>
          <w:i/>
        </w:rPr>
        <w:t>Power</w:t>
      </w:r>
      <w:r w:rsidRPr="009562EA">
        <w:rPr>
          <w:rFonts w:cstheme="minorHAnsi"/>
          <w:b/>
          <w:i/>
        </w:rPr>
        <w:noBreakHyphen/>
        <w:t>i</w:t>
      </w:r>
      <w:r w:rsidRPr="009562EA">
        <w:rPr>
          <w:rFonts w:cstheme="minorHAnsi"/>
        </w:rPr>
        <w:t xml:space="preserve"> detecta a ocorrência de uma </w:t>
      </w:r>
      <w:r w:rsidRPr="009562EA">
        <w:rPr>
          <w:rFonts w:cstheme="minorHAnsi"/>
          <w:b/>
        </w:rPr>
        <w:t>falta</w:t>
      </w:r>
      <w:r w:rsidRPr="009562EA">
        <w:rPr>
          <w:rFonts w:cstheme="minorHAnsi"/>
        </w:rPr>
        <w:t xml:space="preserve"> no circuito elétrico logo no seu início e o desliga em um tempo da ordem de poucos </w:t>
      </w:r>
      <w:r w:rsidRPr="009562EA">
        <w:rPr>
          <w:rFonts w:cstheme="minorHAnsi"/>
          <w:b/>
        </w:rPr>
        <w:t>microssegundos</w:t>
      </w:r>
      <w:r w:rsidRPr="009562EA">
        <w:rPr>
          <w:rFonts w:cstheme="minorHAnsi"/>
        </w:rPr>
        <w:t xml:space="preserve">, antes da energia atingir um nível crítico de segurança. A base para esta nova abordagem de proteção “Ex” tem como base o fato de que toda formação de uma centelha leva à ocorrência de uma característica muito </w:t>
      </w:r>
      <w:r w:rsidRPr="009562EA">
        <w:rPr>
          <w:rFonts w:cstheme="minorHAnsi"/>
          <w:b/>
        </w:rPr>
        <w:t>específica</w:t>
      </w:r>
      <w:r w:rsidRPr="009562EA">
        <w:rPr>
          <w:rFonts w:cstheme="minorHAnsi"/>
        </w:rPr>
        <w:t xml:space="preserve"> na corrente que circula pelo circuito (</w:t>
      </w:r>
      <w:r w:rsidRPr="009562EA">
        <w:rPr>
          <w:rFonts w:cstheme="minorHAnsi"/>
          <w:b/>
          <w:i/>
        </w:rPr>
        <w:t>di/dt</w:t>
      </w:r>
      <w:r w:rsidRPr="009562EA">
        <w:rPr>
          <w:rFonts w:cstheme="minorHAnsi"/>
        </w:rPr>
        <w:t xml:space="preserve">) e, desta forma, em uma alteração conhecida na corrente de um circuito elétrico (curto-circuito ou circuito aberto). </w:t>
      </w:r>
    </w:p>
    <w:p w14:paraId="626CAD48"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E409C29"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lastRenderedPageBreak/>
        <w:t xml:space="preserve">De forma diferente de um simples sistema de chaveamento rápido ou de sistemas que simplesmente desligam o circuito em casos de ocorrência de uma variação de tensão, o sistema Power-i reage </w:t>
      </w:r>
      <w:r w:rsidRPr="009562EA">
        <w:rPr>
          <w:rFonts w:cstheme="minorHAnsi"/>
          <w:b/>
        </w:rPr>
        <w:t>dinamicamente</w:t>
      </w:r>
      <w:r w:rsidRPr="009562EA">
        <w:rPr>
          <w:rFonts w:cstheme="minorHAnsi"/>
        </w:rPr>
        <w:t xml:space="preserve"> à alteração do valor da corrente quando um nível crítico de variação é detectado no circuito. Deste modo, todas as possíveis falhas que podem levar à formação de uma centelha são detectadas com a </w:t>
      </w:r>
      <w:r w:rsidRPr="009562EA">
        <w:rPr>
          <w:rFonts w:cstheme="minorHAnsi"/>
          <w:b/>
        </w:rPr>
        <w:t>rapidez</w:t>
      </w:r>
      <w:r w:rsidRPr="009562EA">
        <w:rPr>
          <w:rFonts w:cstheme="minorHAnsi"/>
        </w:rPr>
        <w:t xml:space="preserve"> necessária e são devidamente controladas com segurança.</w:t>
      </w:r>
    </w:p>
    <w:p w14:paraId="0FB3DE83"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26C06C2"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Em um sistema Power-i uma fonte de alimentação </w:t>
      </w:r>
      <w:r w:rsidRPr="009562EA">
        <w:rPr>
          <w:rFonts w:cstheme="minorHAnsi"/>
          <w:b/>
        </w:rPr>
        <w:t>ativa</w:t>
      </w:r>
      <w:r w:rsidRPr="009562EA">
        <w:rPr>
          <w:rFonts w:cstheme="minorHAnsi"/>
        </w:rPr>
        <w:t xml:space="preserve"> é conectada para alimentar um ou mais dispositivos “Ex” de campo também Power-i. A forma mais simples de um circuito Power-i consiste de uma fonte ativa, de um circuito de campo e de um dispositivo “Ex” de campo Power-i. Sistemas Power-i são adequados também para a implantação de circuitos mais complexos, tais como as redes de comunicação de campo </w:t>
      </w:r>
      <w:r w:rsidRPr="009562EA">
        <w:rPr>
          <w:rFonts w:cstheme="minorHAnsi"/>
          <w:b/>
          <w:i/>
        </w:rPr>
        <w:t>Fieldbus</w:t>
      </w:r>
      <w:r w:rsidRPr="009562EA">
        <w:rPr>
          <w:rFonts w:cstheme="minorHAnsi"/>
        </w:rPr>
        <w:t>.</w:t>
      </w:r>
    </w:p>
    <w:p w14:paraId="054BF8AD"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E8FC12B"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Com a aplicação do conceito de proteção </w:t>
      </w:r>
      <w:r w:rsidRPr="009562EA">
        <w:rPr>
          <w:rFonts w:cstheme="minorHAnsi" w:hint="eastAsia"/>
        </w:rPr>
        <w:t>“</w:t>
      </w:r>
      <w:r w:rsidRPr="009562EA">
        <w:rPr>
          <w:rFonts w:cstheme="minorHAnsi"/>
        </w:rPr>
        <w:t>Power-i</w:t>
      </w:r>
      <w:r w:rsidRPr="009562EA">
        <w:rPr>
          <w:rFonts w:cstheme="minorHAnsi" w:hint="eastAsia"/>
        </w:rPr>
        <w:t>”</w:t>
      </w:r>
      <w:r w:rsidRPr="009562EA">
        <w:rPr>
          <w:rFonts w:cstheme="minorHAnsi"/>
        </w:rPr>
        <w:t xml:space="preserve"> algumas aplicações que utilizam outros tipos de proteção tais como o </w:t>
      </w:r>
      <w:r w:rsidRPr="009562EA">
        <w:rPr>
          <w:rFonts w:cstheme="minorHAnsi"/>
          <w:b/>
        </w:rPr>
        <w:t>Ex </w:t>
      </w:r>
      <w:r w:rsidRPr="009562EA">
        <w:rPr>
          <w:rFonts w:cstheme="minorHAnsi" w:hint="eastAsia"/>
          <w:b/>
        </w:rPr>
        <w:t>“</w:t>
      </w:r>
      <w:r w:rsidRPr="009562EA">
        <w:rPr>
          <w:rFonts w:cstheme="minorHAnsi"/>
          <w:b/>
        </w:rPr>
        <w:t>d</w:t>
      </w:r>
      <w:r w:rsidRPr="009562EA">
        <w:rPr>
          <w:rFonts w:cstheme="minorHAnsi" w:hint="eastAsia"/>
          <w:b/>
        </w:rPr>
        <w:t>”</w:t>
      </w:r>
      <w:r w:rsidRPr="009562EA">
        <w:rPr>
          <w:rFonts w:cstheme="minorHAnsi"/>
        </w:rPr>
        <w:t xml:space="preserve"> (à prova de explosão) ou </w:t>
      </w:r>
      <w:r w:rsidRPr="009562EA">
        <w:rPr>
          <w:rFonts w:cstheme="minorHAnsi"/>
          <w:b/>
        </w:rPr>
        <w:t xml:space="preserve">Ex </w:t>
      </w:r>
      <w:r w:rsidRPr="009562EA">
        <w:rPr>
          <w:rFonts w:cstheme="minorHAnsi" w:hint="eastAsia"/>
          <w:b/>
        </w:rPr>
        <w:t>“</w:t>
      </w:r>
      <w:r w:rsidRPr="009562EA">
        <w:rPr>
          <w:rFonts w:cstheme="minorHAnsi"/>
          <w:b/>
        </w:rPr>
        <w:t>e</w:t>
      </w:r>
      <w:r w:rsidRPr="009562EA">
        <w:rPr>
          <w:rFonts w:cstheme="minorHAnsi" w:hint="eastAsia"/>
          <w:b/>
        </w:rPr>
        <w:t>”</w:t>
      </w:r>
      <w:r w:rsidRPr="009562EA">
        <w:rPr>
          <w:rFonts w:cstheme="minorHAnsi"/>
        </w:rPr>
        <w:t xml:space="preserve"> (segurança aumentada), podem ser substituídas pelo tipo de proteção segurança intrínseca de </w:t>
      </w:r>
      <w:r w:rsidRPr="009562EA">
        <w:rPr>
          <w:rFonts w:cstheme="minorHAnsi" w:hint="eastAsia"/>
        </w:rPr>
        <w:t>“</w:t>
      </w:r>
      <w:r w:rsidRPr="009562EA">
        <w:rPr>
          <w:rFonts w:cstheme="minorHAnsi"/>
          <w:b/>
        </w:rPr>
        <w:t>alta potência</w:t>
      </w:r>
      <w:r w:rsidRPr="009562EA">
        <w:rPr>
          <w:rFonts w:cstheme="minorHAnsi" w:hint="eastAsia"/>
        </w:rPr>
        <w:t>”</w:t>
      </w:r>
      <w:r w:rsidRPr="009562EA">
        <w:rPr>
          <w:rFonts w:cstheme="minorHAnsi"/>
        </w:rPr>
        <w:t xml:space="preserve">. Isto abre novas </w:t>
      </w:r>
      <w:r w:rsidRPr="009562EA">
        <w:rPr>
          <w:rFonts w:cstheme="minorHAnsi"/>
          <w:b/>
        </w:rPr>
        <w:t>perspectivas</w:t>
      </w:r>
      <w:r w:rsidRPr="009562EA">
        <w:rPr>
          <w:rFonts w:cstheme="minorHAnsi"/>
        </w:rPr>
        <w:t xml:space="preserve"> de aplicação deste tipo de proteção na indústria de processo, como, por exemplo: sistemas de pesagem, sistema de iluminação LED, atuadores de válvulas de controle e redes de comunicação de campo do tipo </w:t>
      </w:r>
      <w:r w:rsidRPr="009562EA">
        <w:rPr>
          <w:rFonts w:cstheme="minorHAnsi"/>
          <w:b/>
          <w:i/>
        </w:rPr>
        <w:t>Fieldbus</w:t>
      </w:r>
      <w:r w:rsidRPr="009562EA">
        <w:rPr>
          <w:rFonts w:cstheme="minorHAnsi"/>
        </w:rPr>
        <w:t xml:space="preserve"> intrinsecamente seguro (</w:t>
      </w:r>
      <w:r w:rsidRPr="009562EA">
        <w:rPr>
          <w:rFonts w:cstheme="minorHAnsi"/>
          <w:b/>
          <w:i/>
        </w:rPr>
        <w:t>FISCO</w:t>
      </w:r>
      <w:r w:rsidRPr="009562EA">
        <w:rPr>
          <w:rFonts w:cstheme="minorHAnsi"/>
        </w:rPr>
        <w:t>).</w:t>
      </w:r>
    </w:p>
    <w:p w14:paraId="7BF2618E"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C95786D" w14:textId="23814E60"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Os elementos eletrônicos e digitais que compõe uma </w:t>
      </w:r>
      <w:r w:rsidRPr="009562EA">
        <w:rPr>
          <w:rFonts w:cstheme="minorHAnsi"/>
          <w:b/>
        </w:rPr>
        <w:t>fonte de alimentação ativa</w:t>
      </w:r>
      <w:r w:rsidRPr="009562EA">
        <w:rPr>
          <w:rFonts w:cstheme="minorHAnsi"/>
        </w:rPr>
        <w:t xml:space="preserve"> </w:t>
      </w:r>
      <w:r w:rsidRPr="009562EA">
        <w:rPr>
          <w:rFonts w:cstheme="minorHAnsi"/>
          <w:i/>
        </w:rPr>
        <w:t>Power</w:t>
      </w:r>
      <w:r w:rsidRPr="009562EA">
        <w:rPr>
          <w:rFonts w:cstheme="minorHAnsi"/>
        </w:rPr>
        <w:t xml:space="preserve">-i com </w:t>
      </w:r>
      <w:r w:rsidRPr="00612E06">
        <w:rPr>
          <w:rFonts w:cstheme="minorHAnsi"/>
          <w:b/>
        </w:rPr>
        <w:t>limitação</w:t>
      </w:r>
      <w:r w:rsidRPr="009562EA">
        <w:rPr>
          <w:rFonts w:cstheme="minorHAnsi"/>
        </w:rPr>
        <w:t xml:space="preserve"> de tensão e corrente </w:t>
      </w:r>
      <w:r w:rsidR="00612E06">
        <w:rPr>
          <w:rFonts w:cstheme="minorHAnsi"/>
        </w:rPr>
        <w:t xml:space="preserve">e de um dispositivo de </w:t>
      </w:r>
      <w:r w:rsidR="00612E06" w:rsidRPr="00612E06">
        <w:rPr>
          <w:rFonts w:cstheme="minorHAnsi"/>
          <w:b/>
        </w:rPr>
        <w:t>campo</w:t>
      </w:r>
      <w:r w:rsidR="00612E06">
        <w:rPr>
          <w:rFonts w:cstheme="minorHAnsi"/>
        </w:rPr>
        <w:t xml:space="preserve"> “</w:t>
      </w:r>
      <w:r w:rsidR="00612E06" w:rsidRPr="00612E06">
        <w:rPr>
          <w:rFonts w:cstheme="minorHAnsi"/>
          <w:i/>
        </w:rPr>
        <w:t>Power-i</w:t>
      </w:r>
      <w:r w:rsidR="00612E06">
        <w:rPr>
          <w:rFonts w:cstheme="minorHAnsi"/>
        </w:rPr>
        <w:t xml:space="preserve">” </w:t>
      </w:r>
      <w:r w:rsidRPr="009562EA">
        <w:rPr>
          <w:rFonts w:cstheme="minorHAnsi"/>
        </w:rPr>
        <w:t>são apresentados na</w:t>
      </w:r>
      <w:r w:rsidR="00612E06">
        <w:rPr>
          <w:rFonts w:cstheme="minorHAnsi"/>
        </w:rPr>
        <w:t xml:space="preserve">s </w:t>
      </w:r>
      <w:r w:rsidRPr="009562EA">
        <w:rPr>
          <w:rFonts w:cstheme="minorHAnsi"/>
        </w:rPr>
        <w:t>Figura</w:t>
      </w:r>
      <w:r w:rsidR="00612E06">
        <w:rPr>
          <w:rFonts w:cstheme="minorHAnsi"/>
        </w:rPr>
        <w:t>s</w:t>
      </w:r>
      <w:r w:rsidRPr="009562EA">
        <w:rPr>
          <w:rFonts w:cstheme="minorHAnsi"/>
        </w:rPr>
        <w:t xml:space="preserve"> a seguir.</w:t>
      </w:r>
    </w:p>
    <w:p w14:paraId="2D39C08B" w14:textId="546909AC" w:rsid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tbl>
      <w:tblPr>
        <w:tblStyle w:val="Tabelacomgrade"/>
        <w:tblW w:w="0" w:type="auto"/>
        <w:tblLook w:val="04A0" w:firstRow="1" w:lastRow="0" w:firstColumn="1" w:lastColumn="0" w:noHBand="0" w:noVBand="1"/>
      </w:tblPr>
      <w:tblGrid>
        <w:gridCol w:w="5363"/>
        <w:gridCol w:w="4265"/>
      </w:tblGrid>
      <w:tr w:rsidR="00B17B14" w14:paraId="64D6D6ED" w14:textId="77777777" w:rsidTr="00761B35">
        <w:tc>
          <w:tcPr>
            <w:tcW w:w="5363" w:type="dxa"/>
          </w:tcPr>
          <w:p w14:paraId="202A1A52" w14:textId="7FC156B1" w:rsidR="00B17B14" w:rsidRDefault="00B17B14" w:rsidP="0074225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9562EA">
              <w:rPr>
                <w:rFonts w:cstheme="minorHAnsi"/>
              </w:rPr>
              <w:object w:dxaOrig="12348" w:dyaOrig="7332" w14:anchorId="69C314EB">
                <v:shape id="_x0000_i1027" type="#_x0000_t75" style="width:266.95pt;height:146.7pt" o:ole="">
                  <v:imagedata r:id="rId47" o:title=""/>
                </v:shape>
                <o:OLEObject Type="Embed" ProgID="Visio.Drawing.11" ShapeID="_x0000_i1027" DrawAspect="Content" ObjectID="_1613811860" r:id="rId48"/>
              </w:object>
            </w:r>
          </w:p>
        </w:tc>
        <w:tc>
          <w:tcPr>
            <w:tcW w:w="4265" w:type="dxa"/>
          </w:tcPr>
          <w:p w14:paraId="0A406E5F" w14:textId="7BCBDC16" w:rsidR="00B17B14" w:rsidRDefault="00B17B14" w:rsidP="0074225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9562EA">
              <w:rPr>
                <w:rFonts w:cstheme="minorHAnsi"/>
              </w:rPr>
              <w:object w:dxaOrig="13582" w:dyaOrig="11712" w14:anchorId="788AF858">
                <v:shape id="_x0000_i1028" type="#_x0000_t75" style="width:209.9pt;height:154.85pt" o:ole="">
                  <v:imagedata r:id="rId49" o:title=""/>
                </v:shape>
                <o:OLEObject Type="Embed" ProgID="Visio.Drawing.11" ShapeID="_x0000_i1028" DrawAspect="Content" ObjectID="_1613811861" r:id="rId50"/>
              </w:object>
            </w:r>
          </w:p>
        </w:tc>
      </w:tr>
      <w:tr w:rsidR="00B17B14" w14:paraId="06A968CA" w14:textId="77777777" w:rsidTr="00761B35">
        <w:tc>
          <w:tcPr>
            <w:tcW w:w="5363" w:type="dxa"/>
          </w:tcPr>
          <w:p w14:paraId="21002694" w14:textId="3572E84E" w:rsidR="00B17B14" w:rsidRDefault="00B17B14" w:rsidP="00B17B1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22440E">
              <w:rPr>
                <w:rFonts w:cstheme="minorHAnsi"/>
                <w:i/>
                <w:sz w:val="18"/>
              </w:rPr>
              <w:t>Fonte de alimentação “Power i” incorporando sistema de detecção e chaveamento rápido</w:t>
            </w:r>
          </w:p>
        </w:tc>
        <w:tc>
          <w:tcPr>
            <w:tcW w:w="4265" w:type="dxa"/>
          </w:tcPr>
          <w:p w14:paraId="1DD4C57F" w14:textId="0E418C59" w:rsidR="00B17B14" w:rsidRPr="00612E06" w:rsidRDefault="00B17B14" w:rsidP="00742254">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612E06">
              <w:rPr>
                <w:rFonts w:cstheme="minorHAnsi"/>
                <w:i/>
                <w:sz w:val="18"/>
              </w:rPr>
              <w:t>Exemplo da estrutura básica de um dispositivo “Ex” de campo Power-i</w:t>
            </w:r>
          </w:p>
        </w:tc>
      </w:tr>
    </w:tbl>
    <w:p w14:paraId="62605E77" w14:textId="35CAE8E8" w:rsidR="00B17B14" w:rsidRDefault="00B17B14"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455D0B1" w14:textId="77777777" w:rsidR="006A7498" w:rsidRDefault="006A7498"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296F4AC"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Um exemplo “</w:t>
      </w:r>
      <w:r w:rsidRPr="009562EA">
        <w:rPr>
          <w:rFonts w:cstheme="minorHAnsi"/>
          <w:b/>
        </w:rPr>
        <w:t>típico</w:t>
      </w:r>
      <w:r w:rsidRPr="009562EA">
        <w:rPr>
          <w:rFonts w:cstheme="minorHAnsi"/>
        </w:rPr>
        <w:t xml:space="preserve">” de aplicação de um circuito completo Power-i, contendo a </w:t>
      </w:r>
      <w:r w:rsidRPr="009562EA">
        <w:rPr>
          <w:rFonts w:cstheme="minorHAnsi"/>
          <w:b/>
        </w:rPr>
        <w:t>fonte</w:t>
      </w:r>
      <w:r w:rsidRPr="009562EA">
        <w:rPr>
          <w:rFonts w:cstheme="minorHAnsi"/>
        </w:rPr>
        <w:t xml:space="preserve"> Power-i e o </w:t>
      </w:r>
      <w:r w:rsidRPr="009562EA">
        <w:rPr>
          <w:rFonts w:cstheme="minorHAnsi"/>
          <w:b/>
        </w:rPr>
        <w:t>dispositivo “Ex” de campo</w:t>
      </w:r>
      <w:r w:rsidRPr="009562EA">
        <w:rPr>
          <w:rFonts w:cstheme="minorHAnsi"/>
        </w:rPr>
        <w:t xml:space="preserve"> Power-i, representado neste exemplo por uma válvula solenoide “Ex” é apresentado na figura a seguir.</w:t>
      </w:r>
    </w:p>
    <w:p w14:paraId="44351C76"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5B16B36" w14:textId="01A1D17D" w:rsidR="009562EA" w:rsidRDefault="006A7498" w:rsidP="009245E0">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pPr>
      <w:r>
        <w:object w:dxaOrig="16830" w:dyaOrig="9706" w14:anchorId="6F690BA6">
          <v:shape id="_x0000_i1029" type="#_x0000_t75" style="width:464.6pt;height:240.45pt" o:ole="" o:allowoverlap="f">
            <v:imagedata r:id="rId51" o:title=""/>
          </v:shape>
          <o:OLEObject Type="Embed" ProgID="Visio.Drawing.15" ShapeID="_x0000_i1029" DrawAspect="Content" ObjectID="_1613811862" r:id="rId52"/>
        </w:object>
      </w:r>
    </w:p>
    <w:p w14:paraId="5E65622C" w14:textId="2D8A0D0E" w:rsidR="009245E0" w:rsidRDefault="009245E0"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26ABD5A"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Um sistema </w:t>
      </w:r>
      <w:r w:rsidRPr="009562EA">
        <w:rPr>
          <w:rFonts w:cstheme="minorHAnsi"/>
          <w:b/>
          <w:i/>
        </w:rPr>
        <w:t>Power-i</w:t>
      </w:r>
      <w:r w:rsidRPr="009562EA">
        <w:rPr>
          <w:rFonts w:cstheme="minorHAnsi"/>
        </w:rPr>
        <w:t xml:space="preserve"> contendo diversos componentes “Ex” de campo interligados por meio de um “</w:t>
      </w:r>
      <w:r w:rsidRPr="009562EA">
        <w:rPr>
          <w:rFonts w:cstheme="minorHAnsi"/>
          <w:b/>
          <w:i/>
        </w:rPr>
        <w:t>Fieldbus</w:t>
      </w:r>
      <w:r w:rsidRPr="009562EA">
        <w:rPr>
          <w:rFonts w:cstheme="minorHAnsi"/>
        </w:rPr>
        <w:t>” é apresentado na Figura a seguir.</w:t>
      </w:r>
    </w:p>
    <w:p w14:paraId="73EEEB27" w14:textId="6EC936BA"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FC01F9F" w14:textId="66674584" w:rsidR="009562EA" w:rsidRPr="009562EA" w:rsidRDefault="00374EB9"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rPr>
      </w:pPr>
      <w:r w:rsidRPr="009562EA">
        <w:rPr>
          <w:rFonts w:cstheme="minorHAnsi"/>
        </w:rPr>
        <w:object w:dxaOrig="16600" w:dyaOrig="7665" w14:anchorId="403760A3">
          <v:shape id="_x0000_i1030" type="#_x0000_t75" style="width:463.9pt;height:204.45pt" o:ole="">
            <v:imagedata r:id="rId53" o:title=""/>
          </v:shape>
          <o:OLEObject Type="Embed" ProgID="Visio.Drawing.11" ShapeID="_x0000_i1030" DrawAspect="Content" ObjectID="_1613811863" r:id="rId54"/>
        </w:object>
      </w:r>
    </w:p>
    <w:p w14:paraId="213E95C4" w14:textId="752E4527" w:rsidR="00694645" w:rsidRPr="00EC2714" w:rsidRDefault="00694645" w:rsidP="00694645">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jc w:val="center"/>
        <w:rPr>
          <w:rFonts w:cstheme="minorHAnsi"/>
          <w:i/>
          <w:sz w:val="18"/>
        </w:rPr>
      </w:pPr>
      <w:r w:rsidRPr="00EC2714">
        <w:rPr>
          <w:rFonts w:cstheme="minorHAnsi"/>
          <w:i/>
          <w:sz w:val="18"/>
        </w:rPr>
        <w:t xml:space="preserve">Exemplo de um sistema </w:t>
      </w:r>
      <w:r w:rsidRPr="00F47DB6">
        <w:rPr>
          <w:rFonts w:cstheme="minorHAnsi"/>
          <w:b/>
          <w:i/>
          <w:sz w:val="18"/>
        </w:rPr>
        <w:t>Power-i</w:t>
      </w:r>
      <w:r w:rsidRPr="00EC2714">
        <w:rPr>
          <w:rFonts w:cstheme="minorHAnsi"/>
          <w:i/>
          <w:sz w:val="18"/>
        </w:rPr>
        <w:t xml:space="preserve"> com arquitetura em rede </w:t>
      </w:r>
      <w:r w:rsidRPr="00DA2FC6">
        <w:rPr>
          <w:rFonts w:cstheme="minorHAnsi"/>
          <w:b/>
          <w:i/>
          <w:sz w:val="18"/>
        </w:rPr>
        <w:t>Fieldbus</w:t>
      </w:r>
      <w:r w:rsidR="00F47DB6">
        <w:rPr>
          <w:rFonts w:cstheme="minorHAnsi"/>
          <w:i/>
          <w:sz w:val="18"/>
        </w:rPr>
        <w:t xml:space="preserve"> intrinsecamente segura</w:t>
      </w:r>
      <w:r w:rsidRPr="00EC2714">
        <w:rPr>
          <w:rFonts w:cstheme="minorHAnsi"/>
          <w:i/>
          <w:sz w:val="18"/>
        </w:rPr>
        <w:t xml:space="preserve"> (</w:t>
      </w:r>
      <w:r w:rsidRPr="00F47DB6">
        <w:rPr>
          <w:rFonts w:cstheme="minorHAnsi"/>
          <w:b/>
          <w:i/>
          <w:sz w:val="18"/>
        </w:rPr>
        <w:t>FISCO</w:t>
      </w:r>
      <w:r w:rsidRPr="00EC2714">
        <w:rPr>
          <w:rFonts w:cstheme="minorHAnsi"/>
          <w:i/>
          <w:sz w:val="18"/>
        </w:rPr>
        <w:t>)</w:t>
      </w:r>
    </w:p>
    <w:p w14:paraId="7889D254"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75C6C6E" w14:textId="76FED64E"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Os requisitos gerais atualmente especificados na Norma </w:t>
      </w:r>
      <w:r w:rsidRPr="009562EA">
        <w:rPr>
          <w:rFonts w:cstheme="minorHAnsi"/>
          <w:b/>
        </w:rPr>
        <w:t>ABNT NBR IEC 60079-14</w:t>
      </w:r>
      <w:r w:rsidRPr="009562EA">
        <w:rPr>
          <w:rFonts w:cstheme="minorHAnsi"/>
        </w:rPr>
        <w:t xml:space="preserve"> (</w:t>
      </w:r>
      <w:r w:rsidRPr="009562EA">
        <w:rPr>
          <w:rFonts w:cstheme="minorHAnsi"/>
          <w:i/>
        </w:rPr>
        <w:t>Projeto e montagem de instalações em atmosferas explosivas</w:t>
      </w:r>
      <w:r w:rsidRPr="009562EA">
        <w:rPr>
          <w:rFonts w:cstheme="minorHAnsi"/>
        </w:rPr>
        <w:t>) para a instalação de equipamentos intrinsecamente seguros são aplicáveis também aos circuitos “</w:t>
      </w:r>
      <w:r w:rsidRPr="009562EA">
        <w:rPr>
          <w:rFonts w:cstheme="minorHAnsi"/>
          <w:b/>
          <w:i/>
        </w:rPr>
        <w:t>Power-i</w:t>
      </w:r>
      <w:r w:rsidRPr="009562EA">
        <w:rPr>
          <w:rFonts w:cstheme="minorHAnsi"/>
        </w:rPr>
        <w:t>”.</w:t>
      </w:r>
      <w:r w:rsidR="00F47DB6">
        <w:rPr>
          <w:rFonts w:cstheme="minorHAnsi"/>
        </w:rPr>
        <w:t xml:space="preserve"> </w:t>
      </w:r>
      <w:r w:rsidRPr="009562EA">
        <w:rPr>
          <w:rFonts w:cstheme="minorHAnsi"/>
        </w:rPr>
        <w:t xml:space="preserve">Este conceito de proteção </w:t>
      </w:r>
      <w:r w:rsidRPr="009562EA">
        <w:rPr>
          <w:rFonts w:cstheme="minorHAnsi" w:hint="eastAsia"/>
        </w:rPr>
        <w:t>“</w:t>
      </w:r>
      <w:r w:rsidRPr="009562EA">
        <w:rPr>
          <w:rFonts w:cstheme="minorHAnsi"/>
          <w:b/>
          <w:bCs/>
        </w:rPr>
        <w:t>Power i</w:t>
      </w:r>
      <w:r w:rsidRPr="009562EA">
        <w:rPr>
          <w:rFonts w:cstheme="minorHAnsi" w:hint="eastAsia"/>
        </w:rPr>
        <w:t>”</w:t>
      </w:r>
      <w:r w:rsidRPr="009562EA">
        <w:rPr>
          <w:rFonts w:cstheme="minorHAnsi"/>
        </w:rPr>
        <w:t xml:space="preserve"> pode ser facilmente integrado as tecnologias novas e já existentes, bem como tornar as aplicações existentes mais simples para os fabricantes e para os usuários de equipamentos e instalações </w:t>
      </w:r>
      <w:r w:rsidRPr="009562EA">
        <w:rPr>
          <w:rFonts w:cstheme="minorHAnsi" w:hint="eastAsia"/>
        </w:rPr>
        <w:t>“</w:t>
      </w:r>
      <w:r w:rsidRPr="009562EA">
        <w:rPr>
          <w:rFonts w:cstheme="minorHAnsi"/>
        </w:rPr>
        <w:t>Ex</w:t>
      </w:r>
      <w:r w:rsidRPr="009562EA">
        <w:rPr>
          <w:rFonts w:cstheme="minorHAnsi" w:hint="eastAsia"/>
        </w:rPr>
        <w:t>”</w:t>
      </w:r>
      <w:r w:rsidRPr="009562EA">
        <w:rPr>
          <w:rFonts w:cstheme="minorHAnsi"/>
        </w:rPr>
        <w:t>.</w:t>
      </w:r>
    </w:p>
    <w:p w14:paraId="3FB8A522"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9A3D5C8" w14:textId="77777777" w:rsidR="009562EA" w:rsidRPr="009562EA" w:rsidRDefault="009562EA" w:rsidP="009562E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9562EA">
        <w:rPr>
          <w:rFonts w:cstheme="minorHAnsi"/>
        </w:rPr>
        <w:t xml:space="preserve">Sob o aspecto de </w:t>
      </w:r>
      <w:r w:rsidRPr="009562EA">
        <w:rPr>
          <w:rFonts w:cstheme="minorHAnsi"/>
          <w:b/>
        </w:rPr>
        <w:t>certificação de conformidade</w:t>
      </w:r>
      <w:r w:rsidRPr="009562EA">
        <w:rPr>
          <w:rFonts w:cstheme="minorHAnsi"/>
        </w:rPr>
        <w:t xml:space="preserve"> de equipamentos “Power-i”, já se encontram disponíveis no mercado, inclusive com certificação </w:t>
      </w:r>
      <w:r w:rsidRPr="009562EA">
        <w:rPr>
          <w:rFonts w:cstheme="minorHAnsi"/>
          <w:b/>
        </w:rPr>
        <w:t>internacional</w:t>
      </w:r>
      <w:r w:rsidRPr="009562EA">
        <w:rPr>
          <w:rFonts w:cstheme="minorHAnsi"/>
        </w:rPr>
        <w:t xml:space="preserve"> emitida dentro do sistema </w:t>
      </w:r>
      <w:r w:rsidRPr="009562EA">
        <w:rPr>
          <w:rFonts w:cstheme="minorHAnsi"/>
          <w:b/>
        </w:rPr>
        <w:t>IECEx</w:t>
      </w:r>
      <w:r w:rsidRPr="009562EA">
        <w:rPr>
          <w:rFonts w:cstheme="minorHAnsi"/>
        </w:rPr>
        <w:t xml:space="preserve">, equipamentos incorporando este tipo de tecnologia e abordagem de segurança, tanto sob o ponto de vista de barreiras de proteção “Power-i” como do ponto de equipamentos de campo, instalados em áreas classificadas. </w:t>
      </w:r>
    </w:p>
    <w:p w14:paraId="1FE372BB" w14:textId="77777777" w:rsidR="0049465E" w:rsidRPr="0088664A"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19ECB20" w14:textId="77777777" w:rsidR="0049465E" w:rsidRDefault="0049465E"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Cs/>
        </w:rPr>
      </w:pPr>
      <w:r w:rsidRPr="0088664A">
        <w:rPr>
          <w:rFonts w:cstheme="minorHAnsi"/>
        </w:rPr>
        <w:t xml:space="preserve">Maiores informações sobre o Power “i” podem ser encontradas na </w:t>
      </w:r>
      <w:r w:rsidRPr="0088664A">
        <w:rPr>
          <w:rFonts w:cstheme="minorHAnsi"/>
          <w:b/>
        </w:rPr>
        <w:t>ABNT IEC TS 60079-39</w:t>
      </w:r>
      <w:r w:rsidRPr="0088664A">
        <w:rPr>
          <w:rFonts w:cstheme="minorHAnsi"/>
        </w:rPr>
        <w:t xml:space="preserve">: </w:t>
      </w:r>
      <w:r w:rsidRPr="0088664A">
        <w:rPr>
          <w:rFonts w:cstheme="minorHAnsi"/>
          <w:bCs/>
        </w:rPr>
        <w:t xml:space="preserve">Atmosferas explosivas </w:t>
      </w:r>
      <w:r w:rsidR="00724AAC">
        <w:rPr>
          <w:rFonts w:cstheme="minorHAnsi"/>
          <w:bCs/>
        </w:rPr>
        <w:t>– Parte </w:t>
      </w:r>
      <w:r w:rsidRPr="0088664A">
        <w:rPr>
          <w:rFonts w:cstheme="minorHAnsi"/>
          <w:bCs/>
        </w:rPr>
        <w:t>39: Sistemas intrinsecamente seguros com limitação de duração de centelha controlada eletronicamente</w:t>
      </w:r>
      <w:r w:rsidR="00724AAC">
        <w:rPr>
          <w:rFonts w:cstheme="minorHAnsi"/>
          <w:bCs/>
        </w:rPr>
        <w:t xml:space="preserve"> (</w:t>
      </w:r>
      <w:r w:rsidR="00724AAC" w:rsidRPr="00EC2714">
        <w:rPr>
          <w:rFonts w:cstheme="minorHAnsi"/>
          <w:b/>
          <w:bCs/>
          <w:i/>
        </w:rPr>
        <w:t>Power </w:t>
      </w:r>
      <w:r w:rsidRPr="00EC2714">
        <w:rPr>
          <w:rFonts w:cstheme="minorHAnsi"/>
          <w:b/>
          <w:bCs/>
          <w:i/>
        </w:rPr>
        <w:t>“i”</w:t>
      </w:r>
      <w:r w:rsidRPr="0088664A">
        <w:rPr>
          <w:rFonts w:cstheme="minorHAnsi"/>
          <w:bCs/>
        </w:rPr>
        <w:t xml:space="preserve">), publicada pela ABNT em </w:t>
      </w:r>
      <w:r w:rsidRPr="00724AAC">
        <w:rPr>
          <w:rFonts w:cstheme="minorHAnsi"/>
          <w:b/>
          <w:bCs/>
        </w:rPr>
        <w:t>31/01/2019</w:t>
      </w:r>
      <w:r w:rsidRPr="0088664A">
        <w:rPr>
          <w:rFonts w:cstheme="minorHAnsi"/>
          <w:bCs/>
        </w:rPr>
        <w:t>.</w:t>
      </w:r>
      <w:r w:rsidR="007102A5">
        <w:rPr>
          <w:rFonts w:cstheme="minorHAnsi"/>
          <w:bCs/>
        </w:rPr>
        <w:t xml:space="preserve"> </w:t>
      </w:r>
      <w:hyperlink r:id="rId55" w:history="1">
        <w:r w:rsidR="007102A5" w:rsidRPr="00C43D9E">
          <w:rPr>
            <w:rStyle w:val="Hyperlink"/>
            <w:rFonts w:cstheme="minorHAnsi"/>
            <w:bCs/>
          </w:rPr>
          <w:t>https://www.abntcatalogo.com.br/norma.aspx?ID=412387</w:t>
        </w:r>
      </w:hyperlink>
    </w:p>
    <w:p w14:paraId="73E379D1" w14:textId="12FF8EC6" w:rsidR="00FD6CC9" w:rsidRDefault="00FD6CC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114FE8B" w14:textId="77777777" w:rsidR="00C22912" w:rsidRDefault="00C22912"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8C5360B" w14:textId="77777777" w:rsidR="00FD6CC9" w:rsidRPr="006A7498" w:rsidRDefault="00FD6CC9" w:rsidP="0088664A">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Requisitos de inspeção e manutenção de equipamentos e sistemas intrinsecamente seguros</w:t>
      </w:r>
    </w:p>
    <w:p w14:paraId="40B72C39"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E2853A8"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 continuidade dos requisitos de segurança de sistemas intrinsecamente seguros durante todo o tempo em que estes permanecem instalados nas áreas de risco depende da aplicação de atividades adequadas de inspeção e de manutenção. </w:t>
      </w:r>
      <w:r w:rsidR="00755E12">
        <w:rPr>
          <w:rFonts w:cstheme="minorHAnsi"/>
        </w:rPr>
        <w:t xml:space="preserve">A </w:t>
      </w:r>
      <w:r w:rsidR="00755E12" w:rsidRPr="0088664A">
        <w:rPr>
          <w:rFonts w:cstheme="minorHAnsi"/>
        </w:rPr>
        <w:t>Norma</w:t>
      </w:r>
      <w:r w:rsidR="00755E12">
        <w:rPr>
          <w:rFonts w:cstheme="minorHAnsi"/>
        </w:rPr>
        <w:t xml:space="preserve"> Técnica Brasileira adotada</w:t>
      </w:r>
      <w:r w:rsidR="00755E12" w:rsidRPr="0088664A">
        <w:rPr>
          <w:rFonts w:cstheme="minorHAnsi"/>
        </w:rPr>
        <w:t xml:space="preserve"> </w:t>
      </w:r>
      <w:r w:rsidRPr="00755E12">
        <w:rPr>
          <w:rFonts w:cstheme="minorHAnsi"/>
          <w:b/>
        </w:rPr>
        <w:t>ABNT NBR IEC 60079-17</w:t>
      </w:r>
      <w:r w:rsidRPr="0088664A">
        <w:rPr>
          <w:rFonts w:cstheme="minorHAnsi"/>
        </w:rPr>
        <w:t xml:space="preserve"> trata de forma abrangente destes requisitos para todos os tipos de proteção “Ex”</w:t>
      </w:r>
      <w:r w:rsidR="00755E12">
        <w:rPr>
          <w:rFonts w:cstheme="minorHAnsi"/>
        </w:rPr>
        <w:t xml:space="preserve">, incluindo o tipo de proteção </w:t>
      </w:r>
      <w:r w:rsidR="00755E12" w:rsidRPr="00755E12">
        <w:rPr>
          <w:rFonts w:cstheme="minorHAnsi"/>
          <w:b/>
        </w:rPr>
        <w:t>Ex “i”</w:t>
      </w:r>
      <w:r w:rsidRPr="0088664A">
        <w:rPr>
          <w:rFonts w:cstheme="minorHAnsi"/>
        </w:rPr>
        <w:t>.</w:t>
      </w:r>
    </w:p>
    <w:p w14:paraId="7C1E42C6"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FF4919A"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Os procedimentos de projeto de sistemas intrinsecamente seguros indicados na </w:t>
      </w:r>
      <w:r w:rsidR="00755E12" w:rsidRPr="0088664A">
        <w:rPr>
          <w:rFonts w:cstheme="minorHAnsi"/>
        </w:rPr>
        <w:t>Norma</w:t>
      </w:r>
      <w:r w:rsidR="00755E12">
        <w:rPr>
          <w:rFonts w:cstheme="minorHAnsi"/>
        </w:rPr>
        <w:t xml:space="preserve"> Técnica Brasileira adotada</w:t>
      </w:r>
      <w:r w:rsidR="00755E12" w:rsidRPr="0088664A">
        <w:rPr>
          <w:rFonts w:cstheme="minorHAnsi"/>
        </w:rPr>
        <w:t xml:space="preserve"> </w:t>
      </w:r>
      <w:r w:rsidR="00755E12">
        <w:rPr>
          <w:rFonts w:cstheme="minorHAnsi"/>
          <w:b/>
        </w:rPr>
        <w:t>ABNT </w:t>
      </w:r>
      <w:r w:rsidRPr="00755E12">
        <w:rPr>
          <w:rFonts w:cstheme="minorHAnsi"/>
          <w:b/>
        </w:rPr>
        <w:t>NBR</w:t>
      </w:r>
      <w:r w:rsidR="00241D58">
        <w:rPr>
          <w:rFonts w:cstheme="minorHAnsi"/>
          <w:b/>
        </w:rPr>
        <w:t> </w:t>
      </w:r>
      <w:r w:rsidRPr="00755E12">
        <w:rPr>
          <w:rFonts w:cstheme="minorHAnsi"/>
          <w:b/>
        </w:rPr>
        <w:t>IEC 60079-25</w:t>
      </w:r>
      <w:r w:rsidRPr="0088664A">
        <w:rPr>
          <w:rFonts w:cstheme="minorHAnsi"/>
        </w:rPr>
        <w:t xml:space="preserve"> fazem com que a responsabilidade por assegurar que os equipamentos utilizados são adequados para os locais de suas instalações seja do projetista da documentação de projeto. </w:t>
      </w:r>
    </w:p>
    <w:p w14:paraId="54829B88"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195A166"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A natureza das atividades de inspeção, por sua vez, depende do nível de atualização desta documentação de projeto de instalação dos sistemas intrinsecamente seguros, a qual necessita indicar os dados referentes aos casos reais das instalações existentes no campo.</w:t>
      </w:r>
    </w:p>
    <w:p w14:paraId="545D9C99"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64D6B8E"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Se a documentação de projeto não estiver adequada, então as atividades de inspeção devem ser realizadas somente por pessoas competentes, com conhecimentos específicos da planta e com sólidos conhecimentos práticos na área de sistemas intrinsecamente seguros. </w:t>
      </w:r>
    </w:p>
    <w:p w14:paraId="0323F57D"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58D7A27"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Se as pessoas que executam as atividades de inspeção não entenderem algumas informações indicadas nos </w:t>
      </w:r>
      <w:r w:rsidRPr="00755E12">
        <w:rPr>
          <w:rFonts w:cstheme="minorHAnsi"/>
          <w:b/>
        </w:rPr>
        <w:t>diagramas de malhas dos sistemas Ex “i”</w:t>
      </w:r>
      <w:r w:rsidRPr="0088664A">
        <w:rPr>
          <w:rFonts w:cstheme="minorHAnsi"/>
        </w:rPr>
        <w:t xml:space="preserve"> ou acreditarem que a documentação de projeto esteja incorreta, então estas devem questionar a correção da documentação, solicitando sua </w:t>
      </w:r>
      <w:r w:rsidRPr="00755E12">
        <w:rPr>
          <w:rFonts w:cstheme="minorHAnsi"/>
          <w:b/>
        </w:rPr>
        <w:t>atualização</w:t>
      </w:r>
      <w:r w:rsidRPr="0088664A">
        <w:rPr>
          <w:rFonts w:cstheme="minorHAnsi"/>
        </w:rPr>
        <w:t xml:space="preserve"> junto ao pessoal da engenharia. </w:t>
      </w:r>
    </w:p>
    <w:p w14:paraId="6F93F76B"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A87BF21" w14:textId="1B84A6E5"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Além disto, a Norma ABNT NBR IEC 60079-17 requer a identificação de uma “pessoa técnica com função gerencial”, designada como responsável por assuntos relacionados com a inspeção das instalações “Ex” em cada planta. </w:t>
      </w:r>
    </w:p>
    <w:p w14:paraId="15380625" w14:textId="4D7618AD" w:rsidR="006204DD"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69D7A31" w14:textId="77777777" w:rsidR="00C22912" w:rsidRPr="0088664A" w:rsidRDefault="00C22912"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1506531" w14:textId="77777777" w:rsidR="006204DD" w:rsidRPr="0088664A" w:rsidRDefault="006204DD" w:rsidP="0088664A">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284" w:hanging="284"/>
        <w:rPr>
          <w:rFonts w:cstheme="minorHAnsi"/>
          <w:b/>
          <w:bCs/>
        </w:rPr>
      </w:pPr>
      <w:r w:rsidRPr="0088664A">
        <w:rPr>
          <w:rFonts w:cstheme="minorHAnsi"/>
          <w:b/>
          <w:bCs/>
        </w:rPr>
        <w:t>Tipos de serviços de reparos a serem realizados pelos reparadores em equipamentos Ex “i” ou por oficinas certificadas</w:t>
      </w:r>
    </w:p>
    <w:p w14:paraId="2446D664"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C9B8465"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As atividades de reparos e ensaios de equipamentos intrinsecamente seguros e associados devem ser realizadas somente em condições adequadas, favoráveis e por pessoas adequadamente treinadas e competentes. </w:t>
      </w:r>
    </w:p>
    <w:p w14:paraId="0532F285"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E8E8F9E"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A Norma</w:t>
      </w:r>
      <w:r w:rsidR="00755E12">
        <w:rPr>
          <w:rFonts w:cstheme="minorHAnsi"/>
        </w:rPr>
        <w:t xml:space="preserve"> Técnica Brasileira adotada</w:t>
      </w:r>
      <w:r w:rsidRPr="0088664A">
        <w:rPr>
          <w:rFonts w:cstheme="minorHAnsi"/>
        </w:rPr>
        <w:t xml:space="preserve"> </w:t>
      </w:r>
      <w:r w:rsidRPr="00755E12">
        <w:rPr>
          <w:rFonts w:cstheme="minorHAnsi"/>
          <w:b/>
        </w:rPr>
        <w:t>ABNT NBR IEC 60079-19</w:t>
      </w:r>
      <w:r w:rsidRPr="0088664A">
        <w:rPr>
          <w:rFonts w:cstheme="minorHAnsi"/>
        </w:rPr>
        <w:t xml:space="preserve"> apresenta os requisitos básicos sobre os procedimentos de serviços de reparos, revisão e recuperação que podem ser realizados em equipamentos intrinsecamente seguros.</w:t>
      </w:r>
    </w:p>
    <w:p w14:paraId="0E2855D3"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C7146AF"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Entretanto, existem sempre limitações práticas ou econômicas sobre os serviços de reparos que podem ser considerados possíveis de serem realizados. Por exemplo, barreiras de segurança intrínseca do tipo diodo de derivação são, em quase sua totalidade, encapsuladas, não sendo desta forma, possíveis de serem reparadas. </w:t>
      </w:r>
    </w:p>
    <w:p w14:paraId="60B188E8"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5DE0440"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As interfaces de isolação galvânica intrinsecamente seguras são normalmente fabricadas em invólucros que são </w:t>
      </w:r>
      <w:r w:rsidRPr="00241D58">
        <w:rPr>
          <w:rFonts w:cstheme="minorHAnsi"/>
          <w:b/>
        </w:rPr>
        <w:t>difíceis</w:t>
      </w:r>
      <w:r w:rsidRPr="0088664A">
        <w:rPr>
          <w:rFonts w:cstheme="minorHAnsi"/>
        </w:rPr>
        <w:t xml:space="preserve"> de serem abertos, sendo revestidas por camadas de verniz e </w:t>
      </w:r>
      <w:r w:rsidRPr="00241D58">
        <w:rPr>
          <w:rFonts w:cstheme="minorHAnsi"/>
          <w:b/>
        </w:rPr>
        <w:t>impossibilitadas</w:t>
      </w:r>
      <w:r w:rsidRPr="0088664A">
        <w:rPr>
          <w:rFonts w:cstheme="minorHAnsi"/>
        </w:rPr>
        <w:t xml:space="preserve"> de serem ensaiadas por completo sem equipamentos de ensaios especiais e conhecimento de todos os componentes dos seus circuitos eletrônicos. </w:t>
      </w:r>
    </w:p>
    <w:p w14:paraId="0155C82C"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2ECE6F2"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Desta forma, nos casos gerais, a </w:t>
      </w:r>
      <w:r w:rsidRPr="00241D58">
        <w:rPr>
          <w:rFonts w:cstheme="minorHAnsi"/>
          <w:b/>
        </w:rPr>
        <w:t>substituição</w:t>
      </w:r>
      <w:r w:rsidRPr="0088664A">
        <w:rPr>
          <w:rFonts w:cstheme="minorHAnsi"/>
        </w:rPr>
        <w:t xml:space="preserve"> destes equipamentos eletrônicos por outros equipamentos idênticos é normalmente a </w:t>
      </w:r>
      <w:r w:rsidRPr="00241D58">
        <w:rPr>
          <w:rFonts w:cstheme="minorHAnsi"/>
          <w:b/>
        </w:rPr>
        <w:t>prática recomendada</w:t>
      </w:r>
      <w:r w:rsidRPr="0088664A">
        <w:rPr>
          <w:rFonts w:cstheme="minorHAnsi"/>
        </w:rPr>
        <w:t xml:space="preserve"> e utilizada na indústria, tanto por motivos de ordem econômica como de segurança.</w:t>
      </w:r>
    </w:p>
    <w:p w14:paraId="6564BD23"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4B8CA3E"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Alguns serviços de reparo podem ser realizados sem que seja afetada a segurança dos equipamentos, normalmente com as limitações aplicáveis. Por exemplo, danos ocorridos nos </w:t>
      </w:r>
      <w:r w:rsidRPr="00241D58">
        <w:rPr>
          <w:rFonts w:cstheme="minorHAnsi"/>
          <w:b/>
        </w:rPr>
        <w:t>invólucros</w:t>
      </w:r>
      <w:r w:rsidRPr="0088664A">
        <w:rPr>
          <w:rFonts w:cstheme="minorHAnsi"/>
        </w:rPr>
        <w:t xml:space="preserve"> dos instrumentos de campo normalmente não afetam diretamente a segurança intrínseca dos equipamentos e consequentemente é considerada </w:t>
      </w:r>
      <w:r w:rsidRPr="00241D58">
        <w:rPr>
          <w:rFonts w:cstheme="minorHAnsi"/>
          <w:b/>
        </w:rPr>
        <w:t>aceitável</w:t>
      </w:r>
      <w:r w:rsidRPr="0088664A">
        <w:rPr>
          <w:rFonts w:cstheme="minorHAnsi"/>
        </w:rPr>
        <w:t xml:space="preserve"> nestes casos a realização de serviços de reparos que restaurem os invólucros ao seu nível original de grau de proteção (</w:t>
      </w:r>
      <w:r w:rsidR="00755E12">
        <w:rPr>
          <w:rFonts w:cstheme="minorHAnsi"/>
        </w:rPr>
        <w:t>Código </w:t>
      </w:r>
      <w:r w:rsidRPr="0088664A">
        <w:rPr>
          <w:rFonts w:cstheme="minorHAnsi"/>
        </w:rPr>
        <w:t>IP, de acordo com a ABNT NBR IEC 60529).</w:t>
      </w:r>
    </w:p>
    <w:p w14:paraId="2033A742"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8A456AE"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Em alguns casos específicos ou excepcionais, os serviços de reparos de placas de circuitos impressos são às vezes considerados, porém usualmente não sejam possíveis de serem executados na prática. A remoção de componentes sem a introdução de danos às </w:t>
      </w:r>
      <w:r w:rsidRPr="00241D58">
        <w:rPr>
          <w:rFonts w:cstheme="minorHAnsi"/>
          <w:b/>
        </w:rPr>
        <w:t>trilhas</w:t>
      </w:r>
      <w:r w:rsidRPr="0088664A">
        <w:rPr>
          <w:rFonts w:cstheme="minorHAnsi"/>
        </w:rPr>
        <w:t xml:space="preserve"> da placa de circuito impresso é muito difícil. </w:t>
      </w:r>
    </w:p>
    <w:p w14:paraId="539E4AE5"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AAC0C6E"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Os registros dos serviços de reparos de equipamentos intrinsecamente seguros devem ser mantidos por um período de, pelo menos, 10 anos. A utilização de registros fotográficos das condições de antes (como encontrado) e após (como </w:t>
      </w:r>
      <w:r w:rsidRPr="0088664A">
        <w:rPr>
          <w:rFonts w:cstheme="minorHAnsi"/>
        </w:rPr>
        <w:lastRenderedPageBreak/>
        <w:t>deixado) à realização dos serviços de reparo (arquivamento eletrônico de fotos digitais) normalmente auxilia e simplifica o processo de documentação dos serviços realizados.</w:t>
      </w:r>
    </w:p>
    <w:p w14:paraId="3565BE9D" w14:textId="30F8712B" w:rsidR="006204DD"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61A426E" w14:textId="77777777" w:rsidR="00612E06" w:rsidRPr="0088664A" w:rsidRDefault="00612E0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B4E612F" w14:textId="77777777" w:rsidR="007358DF" w:rsidRPr="006A7498" w:rsidRDefault="007358DF" w:rsidP="006A7498">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567" w:hanging="567"/>
        <w:rPr>
          <w:rFonts w:cstheme="minorHAnsi"/>
          <w:b/>
          <w:bCs/>
          <w:sz w:val="24"/>
        </w:rPr>
      </w:pPr>
      <w:r w:rsidRPr="006A7498">
        <w:rPr>
          <w:rFonts w:cstheme="minorHAnsi"/>
          <w:b/>
          <w:bCs/>
          <w:sz w:val="24"/>
        </w:rPr>
        <w:t>Documentação a ser apresentada pelos fabricantes de equipamentos Ex “i” no processo de certificação</w:t>
      </w:r>
    </w:p>
    <w:p w14:paraId="28F2FAE1" w14:textId="77777777" w:rsidR="007358DF" w:rsidRPr="0088664A" w:rsidRDefault="007358D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C8F4310"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O Documento Operacional </w:t>
      </w:r>
      <w:r w:rsidRPr="0088664A">
        <w:rPr>
          <w:rFonts w:cstheme="minorHAnsi"/>
          <w:b/>
          <w:bCs/>
        </w:rPr>
        <w:t>IECEx OD 017</w:t>
      </w:r>
      <w:r w:rsidRPr="0088664A">
        <w:rPr>
          <w:rFonts w:cstheme="minorHAnsi"/>
        </w:rPr>
        <w:t xml:space="preserve"> - </w:t>
      </w:r>
      <w:r w:rsidRPr="0088664A">
        <w:rPr>
          <w:rFonts w:cstheme="minorHAnsi"/>
          <w:b/>
          <w:bCs/>
          <w:i/>
          <w:iCs/>
        </w:rPr>
        <w:t xml:space="preserve">Orientação sobre desenhos e documentação para a certificação IECEx </w:t>
      </w:r>
      <w:r w:rsidRPr="0088664A">
        <w:rPr>
          <w:rFonts w:cstheme="minorHAnsi"/>
        </w:rPr>
        <w:t xml:space="preserve">é normalmente utilizado pelos fabricantes, Organismos de Certificação e de Laboratórios de Ensaios de equipamentos “Ex”, para estabelecer os detalhes de documentação e informações mínimas que necessitam ser apresentadas pelos fabricantes nos desenhos e documentos para certificação de equipamentos “Ex”. </w:t>
      </w:r>
    </w:p>
    <w:p w14:paraId="6F0C6E90"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AFA7B87"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Os seguintes detalhes e informações necessitam ser apresentados nos desenhos e documentos para equipamentos Ex “i”, quando aplicável.</w:t>
      </w:r>
    </w:p>
    <w:p w14:paraId="0661D592"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24AE840" w14:textId="77777777"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Para equipamentos intrinsecamente seguros: diagramas completos dos circuitos, incluindo a designação de referência dos componentes para a correlação com a lista de componentes apresentada.</w:t>
      </w:r>
    </w:p>
    <w:p w14:paraId="3EBCD184"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CBE8EF1" w14:textId="77777777"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Para equipamentos associados: diagramas completos dos circuitos, incluindo todas as designações de referência dos componentes para a correlação com a lista de componentes de segurança necessários para a segurança intrínseca, incluindo detalhes suficientes para a verificação das medidas utilizadas para assegurar a segurança intrínseca dos equipamentos associados.</w:t>
      </w:r>
    </w:p>
    <w:p w14:paraId="657E9328" w14:textId="27FA9B13"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3E05D0B" w14:textId="54C4177B"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 xml:space="preserve">Listagem dos componentes sobre os quais </w:t>
      </w:r>
      <w:r w:rsidRPr="00761B35">
        <w:rPr>
          <w:rFonts w:cstheme="minorHAnsi"/>
          <w:b/>
        </w:rPr>
        <w:t>depend</w:t>
      </w:r>
      <w:r w:rsidR="00761B35">
        <w:rPr>
          <w:rFonts w:cstheme="minorHAnsi"/>
          <w:b/>
        </w:rPr>
        <w:t>e</w:t>
      </w:r>
      <w:r w:rsidRPr="00761B35">
        <w:rPr>
          <w:rFonts w:cstheme="minorHAnsi"/>
          <w:b/>
        </w:rPr>
        <w:t>m</w:t>
      </w:r>
      <w:r w:rsidRPr="0088664A">
        <w:rPr>
          <w:rFonts w:cstheme="minorHAnsi"/>
        </w:rPr>
        <w:t xml:space="preserve"> a segurança intrínseca, incluindo para cada componente:</w:t>
      </w:r>
      <w:r w:rsidR="00F97976" w:rsidRPr="0088664A">
        <w:rPr>
          <w:rFonts w:cstheme="minorHAnsi"/>
        </w:rPr>
        <w:t xml:space="preserve"> </w:t>
      </w:r>
      <w:r w:rsidRPr="0088664A">
        <w:rPr>
          <w:rFonts w:cstheme="minorHAnsi"/>
        </w:rPr>
        <w:t>um ou mais fabricantes específicos e o “</w:t>
      </w:r>
      <w:r w:rsidRPr="0088664A">
        <w:rPr>
          <w:rFonts w:cstheme="minorHAnsi"/>
          <w:i/>
        </w:rPr>
        <w:t>part-number</w:t>
      </w:r>
      <w:r w:rsidRPr="0088664A">
        <w:rPr>
          <w:rFonts w:cstheme="minorHAnsi"/>
        </w:rPr>
        <w:t>” ou uma faixa de “</w:t>
      </w:r>
      <w:r w:rsidRPr="00761B35">
        <w:rPr>
          <w:rFonts w:cstheme="minorHAnsi"/>
          <w:i/>
        </w:rPr>
        <w:t>part-number</w:t>
      </w:r>
      <w:r w:rsidRPr="0088664A">
        <w:rPr>
          <w:rFonts w:cstheme="minorHAnsi"/>
        </w:rPr>
        <w:t>”, ou</w:t>
      </w:r>
      <w:r w:rsidR="00F97976" w:rsidRPr="0088664A">
        <w:rPr>
          <w:rFonts w:cstheme="minorHAnsi"/>
        </w:rPr>
        <w:t xml:space="preserve"> </w:t>
      </w:r>
      <w:r w:rsidRPr="0088664A">
        <w:rPr>
          <w:rFonts w:cstheme="minorHAnsi"/>
        </w:rPr>
        <w:t>especificações suficientes requeridas para manter a segurança intrínseca.</w:t>
      </w:r>
    </w:p>
    <w:p w14:paraId="115E3DF9"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77C3E2A" w14:textId="1CC1A5C2" w:rsidR="007358DF" w:rsidRPr="0088664A" w:rsidRDefault="00F97976"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Identificação</w:t>
      </w:r>
      <w:r w:rsidR="007358DF" w:rsidRPr="0088664A">
        <w:rPr>
          <w:rFonts w:cstheme="minorHAnsi"/>
        </w:rPr>
        <w:t xml:space="preserve"> </w:t>
      </w:r>
      <w:r w:rsidRPr="0088664A">
        <w:rPr>
          <w:rFonts w:cstheme="minorHAnsi"/>
        </w:rPr>
        <w:t xml:space="preserve">clara </w:t>
      </w:r>
      <w:r w:rsidR="007358DF" w:rsidRPr="0088664A">
        <w:rPr>
          <w:rFonts w:cstheme="minorHAnsi"/>
        </w:rPr>
        <w:t xml:space="preserve">dos diagramas e desenhos, por exemplo, por linhas pontilhadas, dos limites entre circuitos </w:t>
      </w:r>
      <w:r w:rsidR="007358DF" w:rsidRPr="00761B35">
        <w:rPr>
          <w:rFonts w:cstheme="minorHAnsi"/>
          <w:b/>
        </w:rPr>
        <w:t>IS</w:t>
      </w:r>
      <w:r w:rsidR="007358DF" w:rsidRPr="0088664A">
        <w:rPr>
          <w:rFonts w:cstheme="minorHAnsi"/>
        </w:rPr>
        <w:t xml:space="preserve"> e </w:t>
      </w:r>
      <w:r w:rsidR="007358DF" w:rsidRPr="00761B35">
        <w:rPr>
          <w:rFonts w:cstheme="minorHAnsi"/>
          <w:b/>
        </w:rPr>
        <w:t>não IS</w:t>
      </w:r>
      <w:r w:rsidR="007358DF" w:rsidRPr="0088664A">
        <w:rPr>
          <w:rFonts w:cstheme="minorHAnsi"/>
        </w:rPr>
        <w:t xml:space="preserve"> em um equipamento associado que requeira segregação.</w:t>
      </w:r>
    </w:p>
    <w:p w14:paraId="2469C0C1" w14:textId="0566B650"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8146A62" w14:textId="068E97D7"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 xml:space="preserve">Marcação específica sobre o diagrama dos circuitos ou na lista dos componentes elétricos sobre os quais </w:t>
      </w:r>
      <w:r w:rsidRPr="00761B35">
        <w:rPr>
          <w:rFonts w:cstheme="minorHAnsi"/>
          <w:b/>
        </w:rPr>
        <w:t>depende</w:t>
      </w:r>
      <w:r w:rsidRPr="0088664A">
        <w:rPr>
          <w:rFonts w:cstheme="minorHAnsi"/>
        </w:rPr>
        <w:t xml:space="preserve"> a segurança intrínseca.</w:t>
      </w:r>
    </w:p>
    <w:p w14:paraId="1241E2E8" w14:textId="75A45139"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4AAA5B1" w14:textId="08C2D156"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Uma “Nota” explicando todos os símbolos de identificação (por exemplo, “Estes componentes são componentes de segurança intrínseca e não podem ser alterados com relação às especificações definidas sem a aprovação do Organismo de Certificação”) sobre os diagramas do circuito ou em documentos em separado, que sejam utilizados como instruções de trabalho na fabricação.</w:t>
      </w:r>
    </w:p>
    <w:p w14:paraId="21A32EC0" w14:textId="49C4EAD1"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C453F1D" w14:textId="39ECDAB3"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 xml:space="preserve">Desenhos de arranjo em escala das </w:t>
      </w:r>
      <w:r w:rsidRPr="00761B35">
        <w:rPr>
          <w:rFonts w:cstheme="minorHAnsi"/>
          <w:b/>
        </w:rPr>
        <w:t>Placas de Circuito Impresso (PCB)</w:t>
      </w:r>
      <w:r w:rsidRPr="0088664A">
        <w:rPr>
          <w:rFonts w:cstheme="minorHAnsi"/>
        </w:rPr>
        <w:t xml:space="preserve"> ou arquivos eletrônicos no formato “Gerber”, incluindo:</w:t>
      </w:r>
      <w:r w:rsidR="00F97976" w:rsidRPr="0088664A">
        <w:rPr>
          <w:rFonts w:cstheme="minorHAnsi"/>
        </w:rPr>
        <w:t xml:space="preserve"> </w:t>
      </w:r>
      <w:r w:rsidRPr="0088664A">
        <w:rPr>
          <w:rFonts w:cstheme="minorHAnsi"/>
        </w:rPr>
        <w:t>Material e espessura da</w:t>
      </w:r>
      <w:r w:rsidR="00F97976" w:rsidRPr="0088664A">
        <w:rPr>
          <w:rFonts w:cstheme="minorHAnsi"/>
        </w:rPr>
        <w:t xml:space="preserve">s </w:t>
      </w:r>
      <w:r w:rsidR="00F97976" w:rsidRPr="00761B35">
        <w:rPr>
          <w:rFonts w:cstheme="minorHAnsi"/>
          <w:b/>
        </w:rPr>
        <w:t>PCB</w:t>
      </w:r>
      <w:r w:rsidR="00F97976" w:rsidRPr="0088664A">
        <w:rPr>
          <w:rFonts w:cstheme="minorHAnsi"/>
        </w:rPr>
        <w:t xml:space="preserve"> (</w:t>
      </w:r>
      <w:r w:rsidR="00F97976" w:rsidRPr="00241D58">
        <w:rPr>
          <w:rFonts w:cstheme="minorHAnsi"/>
          <w:i/>
        </w:rPr>
        <w:t>Printed Circuit Boards</w:t>
      </w:r>
      <w:r w:rsidR="00F97976" w:rsidRPr="0088664A">
        <w:rPr>
          <w:rFonts w:cstheme="minorHAnsi"/>
        </w:rPr>
        <w:t>), d</w:t>
      </w:r>
      <w:r w:rsidRPr="0088664A">
        <w:rPr>
          <w:rFonts w:cstheme="minorHAnsi"/>
        </w:rPr>
        <w:t>istância entr</w:t>
      </w:r>
      <w:r w:rsidR="00F97976" w:rsidRPr="0088664A">
        <w:rPr>
          <w:rFonts w:cstheme="minorHAnsi"/>
        </w:rPr>
        <w:t>e camadas da PCB (se aplicável), material</w:t>
      </w:r>
      <w:r w:rsidRPr="0088664A">
        <w:rPr>
          <w:rFonts w:cstheme="minorHAnsi"/>
        </w:rPr>
        <w:t xml:space="preserve"> conduto</w:t>
      </w:r>
      <w:r w:rsidR="00F97976" w:rsidRPr="0088664A">
        <w:rPr>
          <w:rFonts w:cstheme="minorHAnsi"/>
        </w:rPr>
        <w:t xml:space="preserve">r espessura das trilhas das PCB e </w:t>
      </w:r>
      <w:r w:rsidRPr="0088664A">
        <w:rPr>
          <w:rFonts w:cstheme="minorHAnsi"/>
        </w:rPr>
        <w:t xml:space="preserve">Índice Comparativo de Trilhamento superficial (CTI - </w:t>
      </w:r>
      <w:r w:rsidRPr="0088664A">
        <w:rPr>
          <w:rFonts w:cstheme="minorHAnsi"/>
          <w:i/>
        </w:rPr>
        <w:t>Comparative Tracking Index</w:t>
      </w:r>
      <w:r w:rsidR="00F97976" w:rsidRPr="0088664A">
        <w:rPr>
          <w:rFonts w:cstheme="minorHAnsi"/>
        </w:rPr>
        <w:t>) (se aplicável)</w:t>
      </w:r>
    </w:p>
    <w:p w14:paraId="5792FA53" w14:textId="63E89510"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C9A243C" w14:textId="01C599A3" w:rsidR="007358DF" w:rsidRPr="0088664A" w:rsidRDefault="00374EB9"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noProof/>
        </w:rPr>
        <w:drawing>
          <wp:anchor distT="0" distB="0" distL="114300" distR="114300" simplePos="0" relativeHeight="251659264" behindDoc="0" locked="0" layoutInCell="1" allowOverlap="1" wp14:anchorId="36189601" wp14:editId="15F34B67">
            <wp:simplePos x="0" y="0"/>
            <wp:positionH relativeFrom="column">
              <wp:posOffset>3405505</wp:posOffset>
            </wp:positionH>
            <wp:positionV relativeFrom="paragraph">
              <wp:posOffset>33020</wp:posOffset>
            </wp:positionV>
            <wp:extent cx="2941320" cy="2340610"/>
            <wp:effectExtent l="19050" t="19050" r="11430" b="21590"/>
            <wp:wrapSquare wrapText="bothSides"/>
            <wp:docPr id="13" name="Imagem 13" descr="https://media.licdn.com/dms/image/C4D12AQHJ_W1Q_-Kigg/article-inline_image-shrink_1500_2232/0?e=1550102400&amp;v=beta&amp;t=-cBTp71ch-9yqLKJReqEBB9VlwfP9nDbAaY-mPoFs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licdn.com/dms/image/C4D12AQHJ_W1Q_-Kigg/article-inline_image-shrink_1500_2232/0?e=1550102400&amp;v=beta&amp;t=-cBTp71ch-9yqLKJReqEBB9VlwfP9nDbAaY-mPoFsNk"/>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941320" cy="23406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97976" w:rsidRPr="0088664A">
        <w:rPr>
          <w:rFonts w:cstheme="minorHAnsi"/>
        </w:rPr>
        <w:t>D</w:t>
      </w:r>
      <w:r w:rsidR="007358DF" w:rsidRPr="0088664A">
        <w:rPr>
          <w:rFonts w:cstheme="minorHAnsi"/>
        </w:rPr>
        <w:t xml:space="preserve">istâncias de segurança em relação às </w:t>
      </w:r>
      <w:r w:rsidR="007358DF" w:rsidRPr="00761B35">
        <w:rPr>
          <w:rFonts w:cstheme="minorHAnsi"/>
          <w:b/>
        </w:rPr>
        <w:t>trilhas</w:t>
      </w:r>
      <w:r w:rsidR="007358DF" w:rsidRPr="0088664A">
        <w:rPr>
          <w:rFonts w:cstheme="minorHAnsi"/>
        </w:rPr>
        <w:t xml:space="preserve"> sobre as placas de circuitos impresso.</w:t>
      </w:r>
    </w:p>
    <w:p w14:paraId="006CE2B9"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C428D46" w14:textId="77777777" w:rsidR="007358DF" w:rsidRPr="0088664A" w:rsidRDefault="00F97976"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D</w:t>
      </w:r>
      <w:r w:rsidR="007358DF" w:rsidRPr="0088664A">
        <w:rPr>
          <w:rFonts w:cstheme="minorHAnsi"/>
        </w:rPr>
        <w:t xml:space="preserve">istâncias entre os </w:t>
      </w:r>
      <w:r w:rsidR="007358DF" w:rsidRPr="00761B35">
        <w:rPr>
          <w:rFonts w:cstheme="minorHAnsi"/>
          <w:b/>
        </w:rPr>
        <w:t>componentes</w:t>
      </w:r>
      <w:r w:rsidR="007358DF" w:rsidRPr="0088664A">
        <w:rPr>
          <w:rFonts w:cstheme="minorHAnsi"/>
        </w:rPr>
        <w:t xml:space="preserve">, os </w:t>
      </w:r>
      <w:r w:rsidR="007358DF" w:rsidRPr="00761B35">
        <w:rPr>
          <w:rFonts w:cstheme="minorHAnsi"/>
          <w:b/>
        </w:rPr>
        <w:t>terminais</w:t>
      </w:r>
      <w:r w:rsidR="007358DF" w:rsidRPr="0088664A">
        <w:rPr>
          <w:rFonts w:cstheme="minorHAnsi"/>
        </w:rPr>
        <w:t xml:space="preserve"> ou </w:t>
      </w:r>
      <w:r w:rsidR="007358DF" w:rsidRPr="00761B35">
        <w:rPr>
          <w:rFonts w:cstheme="minorHAnsi"/>
          <w:b/>
        </w:rPr>
        <w:t>dentro</w:t>
      </w:r>
      <w:r w:rsidR="007358DF" w:rsidRPr="0088664A">
        <w:rPr>
          <w:rFonts w:cstheme="minorHAnsi"/>
        </w:rPr>
        <w:t xml:space="preserve"> dos componentes de segurança.</w:t>
      </w:r>
    </w:p>
    <w:p w14:paraId="5032ADDE"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344F132" w14:textId="77777777" w:rsidR="007358DF" w:rsidRPr="0088664A" w:rsidRDefault="00D55402"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Á</w:t>
      </w:r>
      <w:r w:rsidR="007358DF" w:rsidRPr="0088664A">
        <w:rPr>
          <w:rFonts w:cstheme="minorHAnsi"/>
        </w:rPr>
        <w:t>rea da seção transversal nominal mínima, o tipo do condutor e a espessura de isolamento dos fios.</w:t>
      </w:r>
    </w:p>
    <w:p w14:paraId="46E5D2F2"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9DA6833" w14:textId="77777777" w:rsidR="007358DF" w:rsidRPr="0088664A" w:rsidRDefault="00D55402"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L</w:t>
      </w:r>
      <w:r w:rsidR="007358DF" w:rsidRPr="0088664A">
        <w:rPr>
          <w:rFonts w:cstheme="minorHAnsi"/>
        </w:rPr>
        <w:t>arguras mínimas de trilhas para a classificação de temperatura para equipamentos IS e para as trilhas consideradas como componentes infalíveis em caso de falha no circuito.</w:t>
      </w:r>
    </w:p>
    <w:p w14:paraId="4ADC6802"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48EFBC2" w14:textId="77777777"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 xml:space="preserve">Desenhos mecânicos de arranjos gerais em escala, </w:t>
      </w:r>
      <w:r w:rsidRPr="0088664A">
        <w:rPr>
          <w:rFonts w:cstheme="minorHAnsi"/>
        </w:rPr>
        <w:lastRenderedPageBreak/>
        <w:t>incluindo detalhes de quaisquer invólucros e, quando relevante para a segurança intrínseca, dos materiais e superfícies utilizados.</w:t>
      </w:r>
    </w:p>
    <w:p w14:paraId="7C5CEB95"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3C6B67B" w14:textId="77777777" w:rsidR="007358DF" w:rsidRPr="0088664A" w:rsidRDefault="00F97976"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D</w:t>
      </w:r>
      <w:r w:rsidR="007358DF" w:rsidRPr="0088664A">
        <w:rPr>
          <w:rFonts w:cstheme="minorHAnsi"/>
        </w:rPr>
        <w:t>iagrama de interconexão para equipamentos que inclua as interconexões internas, incluindo a identificação das fronteiras, quando mais do que um tipo de proteção “Ex” for utilizado no interior do equipamento.</w:t>
      </w:r>
    </w:p>
    <w:p w14:paraId="49535032"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C385AE5" w14:textId="77777777"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Desenhos de montagem para fabricação para componentes customizados, incluindo a especificações dos materiais quando relevante para a segurança intrínseca, e as distâncias de separação, quando requerido para a segurança.</w:t>
      </w:r>
    </w:p>
    <w:p w14:paraId="3903B6AB"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E838FCB" w14:textId="6798A525"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Detalhes de aplicação e as propriedades dos vernizes e resinas isolantes (</w:t>
      </w:r>
      <w:r w:rsidR="00761B35" w:rsidRPr="00761B35">
        <w:rPr>
          <w:rFonts w:cstheme="minorHAnsi"/>
          <w:b/>
          <w:i/>
        </w:rPr>
        <w:t>Conformal Coatings</w:t>
      </w:r>
      <w:r w:rsidRPr="0088664A">
        <w:rPr>
          <w:rFonts w:cstheme="minorHAnsi"/>
        </w:rPr>
        <w:t>).</w:t>
      </w:r>
    </w:p>
    <w:p w14:paraId="78303822"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CE664F0" w14:textId="77777777"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Detalhes de quaisquer materiais de encapsulamento utilizados, incluindo nome genérico e o tipo.</w:t>
      </w:r>
    </w:p>
    <w:p w14:paraId="5DBB3D4D"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32BA563" w14:textId="77777777" w:rsidR="007358DF" w:rsidRPr="0088664A" w:rsidRDefault="00F97976"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D</w:t>
      </w:r>
      <w:r w:rsidR="007358DF" w:rsidRPr="0088664A">
        <w:rPr>
          <w:rFonts w:cstheme="minorHAnsi"/>
        </w:rPr>
        <w:t xml:space="preserve">eclaração dos parâmetros de entidade sobre os quais as avaliações devem ser baseadas. Estes parâmetros normalmente incluem um ou mais valores de </w:t>
      </w:r>
      <w:r w:rsidR="007358DF" w:rsidRPr="0088664A">
        <w:rPr>
          <w:rFonts w:cstheme="minorHAnsi"/>
          <w:i/>
        </w:rPr>
        <w:t>U</w:t>
      </w:r>
      <w:r w:rsidR="007358DF" w:rsidRPr="0088664A">
        <w:rPr>
          <w:rFonts w:cstheme="minorHAnsi"/>
          <w:i/>
          <w:vertAlign w:val="subscript"/>
        </w:rPr>
        <w:t>m</w:t>
      </w:r>
      <w:r w:rsidR="007358DF" w:rsidRPr="0088664A">
        <w:rPr>
          <w:rFonts w:cstheme="minorHAnsi"/>
        </w:rPr>
        <w:t xml:space="preserve">, </w:t>
      </w:r>
      <w:r w:rsidR="007358DF" w:rsidRPr="0088664A">
        <w:rPr>
          <w:rFonts w:cstheme="minorHAnsi"/>
          <w:i/>
          <w:iCs/>
        </w:rPr>
        <w:t>U</w:t>
      </w:r>
      <w:r w:rsidR="007358DF" w:rsidRPr="0088664A">
        <w:rPr>
          <w:rFonts w:cstheme="minorHAnsi"/>
          <w:vertAlign w:val="subscript"/>
        </w:rPr>
        <w:t>i</w:t>
      </w:r>
      <w:r w:rsidR="007358DF" w:rsidRPr="0088664A">
        <w:rPr>
          <w:rFonts w:cstheme="minorHAnsi"/>
        </w:rPr>
        <w:t xml:space="preserve">, </w:t>
      </w:r>
      <w:r w:rsidR="007358DF" w:rsidRPr="0088664A">
        <w:rPr>
          <w:rFonts w:cstheme="minorHAnsi"/>
          <w:i/>
          <w:iCs/>
        </w:rPr>
        <w:t>I</w:t>
      </w:r>
      <w:r w:rsidR="007358DF" w:rsidRPr="0088664A">
        <w:rPr>
          <w:rFonts w:cstheme="minorHAnsi"/>
          <w:vertAlign w:val="subscript"/>
        </w:rPr>
        <w:t>i</w:t>
      </w:r>
      <w:r w:rsidR="007358DF" w:rsidRPr="0088664A">
        <w:rPr>
          <w:rFonts w:cstheme="minorHAnsi"/>
        </w:rPr>
        <w:t xml:space="preserve">, </w:t>
      </w:r>
      <w:r w:rsidR="007358DF" w:rsidRPr="0088664A">
        <w:rPr>
          <w:rFonts w:cstheme="minorHAnsi"/>
          <w:i/>
          <w:iCs/>
        </w:rPr>
        <w:t>P</w:t>
      </w:r>
      <w:r w:rsidR="007358DF" w:rsidRPr="0088664A">
        <w:rPr>
          <w:rFonts w:cstheme="minorHAnsi"/>
          <w:vertAlign w:val="subscript"/>
        </w:rPr>
        <w:t>i</w:t>
      </w:r>
      <w:r w:rsidR="007358DF" w:rsidRPr="0088664A">
        <w:rPr>
          <w:rFonts w:cstheme="minorHAnsi"/>
        </w:rPr>
        <w:t xml:space="preserve">, mas podem também incluir limites de outros parâmetros, tais como </w:t>
      </w:r>
      <w:r w:rsidR="007358DF" w:rsidRPr="0088664A">
        <w:rPr>
          <w:rFonts w:cstheme="minorHAnsi"/>
          <w:i/>
        </w:rPr>
        <w:t>L</w:t>
      </w:r>
      <w:r w:rsidR="007358DF" w:rsidRPr="0088664A">
        <w:rPr>
          <w:rFonts w:cstheme="minorHAnsi"/>
          <w:i/>
          <w:vertAlign w:val="subscript"/>
        </w:rPr>
        <w:t>O</w:t>
      </w:r>
      <w:r w:rsidR="007358DF" w:rsidRPr="0088664A">
        <w:rPr>
          <w:rFonts w:cstheme="minorHAnsi"/>
          <w:i/>
        </w:rPr>
        <w:t>/R, L</w:t>
      </w:r>
      <w:r w:rsidR="007358DF" w:rsidRPr="0088664A">
        <w:rPr>
          <w:rFonts w:cstheme="minorHAnsi"/>
          <w:i/>
          <w:vertAlign w:val="subscript"/>
        </w:rPr>
        <w:t>O</w:t>
      </w:r>
      <w:r w:rsidR="007358DF" w:rsidRPr="0088664A">
        <w:rPr>
          <w:rFonts w:cstheme="minorHAnsi"/>
          <w:i/>
        </w:rPr>
        <w:t>,</w:t>
      </w:r>
      <w:r w:rsidR="007358DF" w:rsidRPr="0088664A">
        <w:rPr>
          <w:rFonts w:cstheme="minorHAnsi"/>
        </w:rPr>
        <w:t xml:space="preserve"> </w:t>
      </w:r>
      <w:r w:rsidR="007358DF" w:rsidRPr="0088664A">
        <w:rPr>
          <w:rFonts w:cstheme="minorHAnsi"/>
          <w:i/>
        </w:rPr>
        <w:t>C</w:t>
      </w:r>
      <w:r w:rsidR="007358DF" w:rsidRPr="0088664A">
        <w:rPr>
          <w:rFonts w:cstheme="minorHAnsi"/>
          <w:i/>
          <w:vertAlign w:val="subscript"/>
        </w:rPr>
        <w:t>O</w:t>
      </w:r>
      <w:r w:rsidR="007358DF" w:rsidRPr="0088664A">
        <w:rPr>
          <w:rFonts w:cstheme="minorHAnsi"/>
        </w:rPr>
        <w:t xml:space="preserve"> etc., que tenham sido determinados durante as avaliações, se eles forem um requisito para a especificação do equipamento.</w:t>
      </w:r>
    </w:p>
    <w:p w14:paraId="6C74AED0"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3635879" w14:textId="77777777" w:rsidR="007358DF" w:rsidRPr="0088664A" w:rsidRDefault="00F97976"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D</w:t>
      </w:r>
      <w:r w:rsidR="007358DF" w:rsidRPr="0088664A">
        <w:rPr>
          <w:rFonts w:cstheme="minorHAnsi"/>
        </w:rPr>
        <w:t>eclaração de quaisquer requisitos para a instalação, manutenção a quente e utilização, como fornecidas nas instruções para o usuário.</w:t>
      </w:r>
      <w:r w:rsidRPr="0088664A">
        <w:rPr>
          <w:rFonts w:cstheme="minorHAnsi"/>
        </w:rPr>
        <w:t xml:space="preserve"> </w:t>
      </w:r>
      <w:r w:rsidR="007358DF" w:rsidRPr="0088664A">
        <w:rPr>
          <w:rFonts w:cstheme="minorHAnsi"/>
        </w:rPr>
        <w:t>Um desenho de controle é uma forma recomendada de consolidação das informações de conexão e de requisitos para instalação e utilização.</w:t>
      </w:r>
    </w:p>
    <w:p w14:paraId="2545FDFD" w14:textId="77777777" w:rsidR="00F97976" w:rsidRPr="0088664A" w:rsidRDefault="00F9797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92D9932" w14:textId="77777777" w:rsidR="007358DF" w:rsidRPr="0088664A" w:rsidRDefault="007358DF" w:rsidP="0088664A">
      <w:pPr>
        <w:pStyle w:val="PargrafodaLista"/>
        <w:numPr>
          <w:ilvl w:val="0"/>
          <w:numId w:val="22"/>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360"/>
        <w:contextualSpacing w:val="0"/>
        <w:rPr>
          <w:rFonts w:cstheme="minorHAnsi"/>
        </w:rPr>
      </w:pPr>
      <w:r w:rsidRPr="0088664A">
        <w:rPr>
          <w:rFonts w:cstheme="minorHAnsi"/>
        </w:rPr>
        <w:t>Detalhes sobre quaisquer condições especiais que tenham sido consideradas na determinação do tipo de proteção, por exemplo, a tensão a ser fornecida por um transformador de proteção ou por meio de um diodo de segurança da barreira.</w:t>
      </w:r>
    </w:p>
    <w:p w14:paraId="355AD52D" w14:textId="660457C7" w:rsidR="007358DF" w:rsidRDefault="007358D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34E8ADD" w14:textId="77777777" w:rsidR="006A7498" w:rsidRPr="0088664A" w:rsidRDefault="006A7498"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8B0FA28" w14:textId="77777777" w:rsidR="006204DD" w:rsidRPr="006A7498" w:rsidRDefault="006204DD" w:rsidP="0088664A">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 xml:space="preserve">Conclusões sobre os requisitos das Normas </w:t>
      </w:r>
      <w:r w:rsidR="00755E12" w:rsidRPr="006A7498">
        <w:rPr>
          <w:rFonts w:cstheme="minorHAnsi"/>
          <w:b/>
          <w:bCs/>
          <w:sz w:val="24"/>
        </w:rPr>
        <w:t xml:space="preserve">Brasileiras adotadas da Série </w:t>
      </w:r>
      <w:r w:rsidRPr="006A7498">
        <w:rPr>
          <w:rFonts w:cstheme="minorHAnsi"/>
          <w:b/>
          <w:bCs/>
          <w:sz w:val="24"/>
        </w:rPr>
        <w:t>ABNT NBR IEC 60079 aplicáveis a sistemas intrinsecamente seguros</w:t>
      </w:r>
    </w:p>
    <w:p w14:paraId="3879D66E"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5240437"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O tipo de proteção por segurança intrínseca oferece um dos mais elevados níveis de segurança para instalações em áreas classificadas contendo atmosferas explosivas. De forma consistente e defensável, este tipo de proteção Ex “i” pode ser considerado como sendo o mais seguro e o menos propenso a erros ou falhas humanas, quando comparado com os outros tipos de proteção “Ex”. </w:t>
      </w:r>
    </w:p>
    <w:p w14:paraId="41C28C0B"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F836892" w14:textId="77777777" w:rsidR="006204DD" w:rsidRPr="0088664A" w:rsidRDefault="00DA1AE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DA1AEF">
        <w:rPr>
          <w:rFonts w:cstheme="minorHAnsi"/>
          <w:noProof/>
        </w:rPr>
        <w:drawing>
          <wp:anchor distT="0" distB="0" distL="114300" distR="114300" simplePos="0" relativeHeight="251663360" behindDoc="0" locked="0" layoutInCell="1" allowOverlap="1" wp14:anchorId="651EB67A" wp14:editId="664B548A">
            <wp:simplePos x="0" y="0"/>
            <wp:positionH relativeFrom="margin">
              <wp:posOffset>4632960</wp:posOffset>
            </wp:positionH>
            <wp:positionV relativeFrom="paragraph">
              <wp:posOffset>5715</wp:posOffset>
            </wp:positionV>
            <wp:extent cx="1574800" cy="1941830"/>
            <wp:effectExtent l="0" t="0" r="6350" b="1270"/>
            <wp:wrapSquare wrapText="bothSides"/>
            <wp:docPr id="1" name="Imagem 1" descr="V:\RPBC_ESTO\NP-1\1.1 Corporativo\Geral ESTO\Elétrica\Bulgarelli\Atmosferas Explosivas\Placa_sinalizacao_Ex_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RPBC_ESTO\NP-1\1.1 Corporativo\Geral ESTO\Elétrica\Bulgarelli\Atmosferas Explosivas\Placa_sinalizacao_Ex_PB.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57480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AB" w:rsidRPr="0088664A">
        <w:rPr>
          <w:rFonts w:cstheme="minorHAnsi"/>
        </w:rPr>
        <w:t>As Comissões de Estudo que compõe o</w:t>
      </w:r>
      <w:r w:rsidR="006204DD" w:rsidRPr="0088664A">
        <w:rPr>
          <w:rFonts w:cstheme="minorHAnsi"/>
        </w:rPr>
        <w:t xml:space="preserve"> Subcomitê SC</w:t>
      </w:r>
      <w:r w:rsidR="00456FAB" w:rsidRPr="0088664A">
        <w:rPr>
          <w:rFonts w:cstheme="minorHAnsi"/>
        </w:rPr>
        <w:t>B 003:</w:t>
      </w:r>
      <w:r w:rsidR="0018591F">
        <w:rPr>
          <w:rFonts w:cstheme="minorHAnsi"/>
        </w:rPr>
        <w:t>031</w:t>
      </w:r>
      <w:r w:rsidR="00456FAB" w:rsidRPr="0088664A">
        <w:rPr>
          <w:rFonts w:cstheme="minorHAnsi"/>
        </w:rPr>
        <w:t xml:space="preserve"> </w:t>
      </w:r>
      <w:r w:rsidR="006204DD" w:rsidRPr="0088664A">
        <w:rPr>
          <w:rFonts w:cstheme="minorHAnsi"/>
        </w:rPr>
        <w:t>d</w:t>
      </w:r>
      <w:r w:rsidR="00456FAB" w:rsidRPr="0088664A">
        <w:rPr>
          <w:rFonts w:cstheme="minorHAnsi"/>
        </w:rPr>
        <w:t>a ABNT/CB-003 (Eletricidade)</w:t>
      </w:r>
      <w:r w:rsidR="006204DD" w:rsidRPr="0088664A">
        <w:rPr>
          <w:rFonts w:cstheme="minorHAnsi"/>
        </w:rPr>
        <w:t xml:space="preserve"> acompanha</w:t>
      </w:r>
      <w:r w:rsidR="00456FAB" w:rsidRPr="0088664A">
        <w:rPr>
          <w:rFonts w:cstheme="minorHAnsi"/>
        </w:rPr>
        <w:t>m</w:t>
      </w:r>
      <w:r w:rsidR="006204DD" w:rsidRPr="0088664A">
        <w:rPr>
          <w:rFonts w:cstheme="minorHAnsi"/>
        </w:rPr>
        <w:t xml:space="preserve"> todo o processo de elaboração, revisão, atualização e aprovação das normas técnicas internacionais da Série 60079, elaboradas pelo TC-31 da IEC. As Normas técnicas </w:t>
      </w:r>
      <w:r w:rsidR="0018591F">
        <w:rPr>
          <w:rFonts w:cstheme="minorHAnsi"/>
        </w:rPr>
        <w:t xml:space="preserve">Brasileiras adotadas das Séries </w:t>
      </w:r>
      <w:r w:rsidR="0018591F" w:rsidRPr="0018591F">
        <w:rPr>
          <w:rFonts w:cstheme="minorHAnsi"/>
          <w:b/>
        </w:rPr>
        <w:t xml:space="preserve">ABNT </w:t>
      </w:r>
      <w:r w:rsidR="006204DD" w:rsidRPr="0018591F">
        <w:rPr>
          <w:rFonts w:cstheme="minorHAnsi"/>
          <w:b/>
        </w:rPr>
        <w:t>NBR IEC 60079</w:t>
      </w:r>
      <w:r w:rsidR="006204DD" w:rsidRPr="0088664A">
        <w:rPr>
          <w:rFonts w:cstheme="minorHAnsi"/>
        </w:rPr>
        <w:t xml:space="preserve"> </w:t>
      </w:r>
      <w:r w:rsidR="0018591F">
        <w:rPr>
          <w:rFonts w:cstheme="minorHAnsi"/>
        </w:rPr>
        <w:t xml:space="preserve">e </w:t>
      </w:r>
      <w:r w:rsidR="0018591F" w:rsidRPr="0018591F">
        <w:rPr>
          <w:rFonts w:cstheme="minorHAnsi"/>
          <w:b/>
        </w:rPr>
        <w:t>ABNT NBR ISO 80079</w:t>
      </w:r>
      <w:r w:rsidR="0018591F">
        <w:rPr>
          <w:rFonts w:cstheme="minorHAnsi"/>
        </w:rPr>
        <w:t xml:space="preserve"> </w:t>
      </w:r>
      <w:r w:rsidR="006204DD" w:rsidRPr="0088664A">
        <w:rPr>
          <w:rFonts w:cstheme="minorHAnsi"/>
        </w:rPr>
        <w:t xml:space="preserve">são </w:t>
      </w:r>
      <w:r w:rsidR="0018591F">
        <w:rPr>
          <w:rFonts w:cstheme="minorHAnsi"/>
        </w:rPr>
        <w:t xml:space="preserve">adoções </w:t>
      </w:r>
      <w:r w:rsidR="006204DD" w:rsidRPr="0088664A">
        <w:rPr>
          <w:rFonts w:cstheme="minorHAnsi"/>
        </w:rPr>
        <w:t xml:space="preserve">atualizadas que </w:t>
      </w:r>
      <w:r w:rsidR="0018591F">
        <w:rPr>
          <w:rFonts w:cstheme="minorHAnsi"/>
        </w:rPr>
        <w:t xml:space="preserve">são </w:t>
      </w:r>
      <w:r w:rsidR="0018591F" w:rsidRPr="0018591F">
        <w:rPr>
          <w:rFonts w:cstheme="minorHAnsi"/>
          <w:b/>
        </w:rPr>
        <w:t>idênticas</w:t>
      </w:r>
      <w:r w:rsidR="0018591F">
        <w:rPr>
          <w:rFonts w:cstheme="minorHAnsi"/>
        </w:rPr>
        <w:t xml:space="preserve">, em termos de conteúdo técnico, </w:t>
      </w:r>
      <w:r w:rsidR="006204DD" w:rsidRPr="0088664A">
        <w:rPr>
          <w:rFonts w:cstheme="minorHAnsi"/>
        </w:rPr>
        <w:t xml:space="preserve">às </w:t>
      </w:r>
      <w:r w:rsidR="0018591F">
        <w:rPr>
          <w:rFonts w:cstheme="minorHAnsi"/>
        </w:rPr>
        <w:t xml:space="preserve">respectivas </w:t>
      </w:r>
      <w:r w:rsidR="006204DD" w:rsidRPr="0088664A">
        <w:rPr>
          <w:rFonts w:cstheme="minorHAnsi"/>
        </w:rPr>
        <w:t>normas internacionais da IEC.</w:t>
      </w:r>
    </w:p>
    <w:p w14:paraId="4F4F9C6E"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C30F750" w14:textId="77777777" w:rsidR="00456FAB"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 ABNT disponibiliza para a sociedade brasileira todas as normas aplicáveis aos requisitos de projeto, instalação, inspeção, manutenção e reparos necessários para equipamentos e sistemas intrinsecamente seguros. As </w:t>
      </w:r>
      <w:r w:rsidR="00456FAB" w:rsidRPr="0088664A">
        <w:rPr>
          <w:rFonts w:cstheme="minorHAnsi"/>
        </w:rPr>
        <w:t xml:space="preserve">Normas Técnicas Brasileiras da Série ABNT NBR IEC 60079 - </w:t>
      </w:r>
      <w:r w:rsidRPr="0088664A">
        <w:rPr>
          <w:rFonts w:cstheme="minorHAnsi"/>
        </w:rPr>
        <w:t>Parte 1</w:t>
      </w:r>
      <w:r w:rsidR="0018591F">
        <w:rPr>
          <w:rFonts w:cstheme="minorHAnsi"/>
        </w:rPr>
        <w:t>1, Parte 1</w:t>
      </w:r>
      <w:r w:rsidRPr="0088664A">
        <w:rPr>
          <w:rFonts w:cstheme="minorHAnsi"/>
        </w:rPr>
        <w:t xml:space="preserve">4, </w:t>
      </w:r>
      <w:r w:rsidR="00456FAB" w:rsidRPr="0088664A">
        <w:rPr>
          <w:rFonts w:cstheme="minorHAnsi"/>
        </w:rPr>
        <w:t xml:space="preserve">Parte </w:t>
      </w:r>
      <w:r w:rsidRPr="0088664A">
        <w:rPr>
          <w:rFonts w:cstheme="minorHAnsi"/>
        </w:rPr>
        <w:t xml:space="preserve">17, </w:t>
      </w:r>
      <w:r w:rsidR="00456FAB" w:rsidRPr="0088664A">
        <w:rPr>
          <w:rFonts w:cstheme="minorHAnsi"/>
        </w:rPr>
        <w:t xml:space="preserve">Parte </w:t>
      </w:r>
      <w:r w:rsidRPr="0088664A">
        <w:rPr>
          <w:rFonts w:cstheme="minorHAnsi"/>
        </w:rPr>
        <w:t>19</w:t>
      </w:r>
      <w:r w:rsidR="0018591F">
        <w:rPr>
          <w:rFonts w:cstheme="minorHAnsi"/>
        </w:rPr>
        <w:t xml:space="preserve">, </w:t>
      </w:r>
      <w:r w:rsidR="00456FAB" w:rsidRPr="0088664A">
        <w:rPr>
          <w:rFonts w:cstheme="minorHAnsi"/>
        </w:rPr>
        <w:t xml:space="preserve">Parte </w:t>
      </w:r>
      <w:r w:rsidRPr="0088664A">
        <w:rPr>
          <w:rFonts w:cstheme="minorHAnsi"/>
        </w:rPr>
        <w:t xml:space="preserve">25 </w:t>
      </w:r>
      <w:r w:rsidR="0018591F">
        <w:rPr>
          <w:rFonts w:cstheme="minorHAnsi"/>
        </w:rPr>
        <w:t xml:space="preserve">e Parte 39 </w:t>
      </w:r>
      <w:r w:rsidRPr="0088664A">
        <w:rPr>
          <w:rFonts w:cstheme="minorHAnsi"/>
        </w:rPr>
        <w:t>são normas brasileiras idênticas às respectivas normas internacionais, em conteúdo técnico</w:t>
      </w:r>
      <w:r w:rsidR="00456FAB" w:rsidRPr="0088664A">
        <w:rPr>
          <w:rFonts w:cstheme="minorHAnsi"/>
        </w:rPr>
        <w:t xml:space="preserve">, de acordo com os requisitos especificados na </w:t>
      </w:r>
      <w:r w:rsidR="00456FAB" w:rsidRPr="0088664A">
        <w:rPr>
          <w:rFonts w:cstheme="minorHAnsi"/>
          <w:b/>
        </w:rPr>
        <w:t>ABNT DIRETIVA 3</w:t>
      </w:r>
      <w:r w:rsidR="00456FAB" w:rsidRPr="0088664A">
        <w:rPr>
          <w:rFonts w:cstheme="minorHAnsi"/>
        </w:rPr>
        <w:t xml:space="preserve"> </w:t>
      </w:r>
      <w:r w:rsidR="00755E12">
        <w:rPr>
          <w:rFonts w:cstheme="minorHAnsi"/>
        </w:rPr>
        <w:t>-</w:t>
      </w:r>
      <w:r w:rsidR="00456FAB" w:rsidRPr="0088664A">
        <w:rPr>
          <w:rFonts w:cstheme="minorHAnsi"/>
        </w:rPr>
        <w:t xml:space="preserve"> </w:t>
      </w:r>
      <w:r w:rsidR="00456FAB" w:rsidRPr="00755E12">
        <w:rPr>
          <w:rFonts w:cstheme="minorHAnsi"/>
          <w:b/>
        </w:rPr>
        <w:t>Adoção de documentos técnicos internacionais</w:t>
      </w:r>
      <w:r w:rsidRPr="0088664A">
        <w:rPr>
          <w:rFonts w:cstheme="minorHAnsi"/>
        </w:rPr>
        <w:t xml:space="preserve">. </w:t>
      </w:r>
    </w:p>
    <w:p w14:paraId="3D8C7940" w14:textId="77777777" w:rsidR="00456FAB" w:rsidRPr="0088664A" w:rsidRDefault="00456FAB"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1146723" w14:textId="77777777" w:rsidR="006204DD" w:rsidRPr="0088664A" w:rsidRDefault="0018591F"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Pr>
          <w:rFonts w:cstheme="minorHAnsi"/>
        </w:rPr>
        <w:t>O</w:t>
      </w:r>
      <w:r w:rsidR="006204DD" w:rsidRPr="0088664A">
        <w:rPr>
          <w:rFonts w:cstheme="minorHAnsi"/>
        </w:rPr>
        <w:t xml:space="preserve"> elevado nível de harmonização e alinhamento das normas técnicas nacionais, elaboradas pelas Comissões de Estudo do Subcomitê SC</w:t>
      </w:r>
      <w:r w:rsidR="00241D58">
        <w:rPr>
          <w:rFonts w:cstheme="minorHAnsi"/>
        </w:rPr>
        <w:t>B 003:0</w:t>
      </w:r>
      <w:r w:rsidR="006204DD" w:rsidRPr="0088664A">
        <w:rPr>
          <w:rFonts w:cstheme="minorHAnsi"/>
        </w:rPr>
        <w:t>31</w:t>
      </w:r>
      <w:r>
        <w:rPr>
          <w:rFonts w:cstheme="minorHAnsi"/>
        </w:rPr>
        <w:t xml:space="preserve"> da ABNT/CB-003 (</w:t>
      </w:r>
      <w:r w:rsidR="006204DD" w:rsidRPr="0088664A">
        <w:rPr>
          <w:rFonts w:cstheme="minorHAnsi"/>
        </w:rPr>
        <w:t>COBEI</w:t>
      </w:r>
      <w:r>
        <w:rPr>
          <w:rFonts w:cstheme="minorHAnsi"/>
        </w:rPr>
        <w:t>)</w:t>
      </w:r>
      <w:r w:rsidR="006204DD" w:rsidRPr="0088664A">
        <w:rPr>
          <w:rFonts w:cstheme="minorHAnsi"/>
        </w:rPr>
        <w:t>, com as normas internacionais da IEC, fazem com que sejam aplicáveis no Brasil os mesmos níveis de qualidade, segurança, desempenho, tecnologia, eficiência e confiabilidade mundialmente requeridos.</w:t>
      </w:r>
    </w:p>
    <w:p w14:paraId="16C59038"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43A7A67"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O tipo de proteção </w:t>
      </w:r>
      <w:r w:rsidRPr="00241D58">
        <w:rPr>
          <w:rFonts w:cstheme="minorHAnsi"/>
          <w:b/>
        </w:rPr>
        <w:t>Ex “i”</w:t>
      </w:r>
      <w:r w:rsidRPr="0088664A">
        <w:rPr>
          <w:rFonts w:cstheme="minorHAnsi"/>
        </w:rPr>
        <w:t xml:space="preserve"> é </w:t>
      </w:r>
      <w:r w:rsidRPr="00241D58">
        <w:rPr>
          <w:rFonts w:cstheme="minorHAnsi"/>
          <w:b/>
        </w:rPr>
        <w:t>internacionalmente</w:t>
      </w:r>
      <w:r w:rsidRPr="0088664A">
        <w:rPr>
          <w:rFonts w:cstheme="minorHAnsi"/>
        </w:rPr>
        <w:t xml:space="preserve"> aceito, existindo ainda uma aceitação </w:t>
      </w:r>
      <w:r w:rsidRPr="00241D58">
        <w:rPr>
          <w:rFonts w:cstheme="minorHAnsi"/>
          <w:b/>
        </w:rPr>
        <w:t>progressiva</w:t>
      </w:r>
      <w:r w:rsidRPr="0088664A">
        <w:rPr>
          <w:rFonts w:cstheme="minorHAnsi"/>
        </w:rPr>
        <w:t xml:space="preserve"> de certificados de conformidade internacionais emitidos pelo </w:t>
      </w:r>
      <w:r w:rsidRPr="00241D58">
        <w:rPr>
          <w:rFonts w:cstheme="minorHAnsi"/>
          <w:b/>
        </w:rPr>
        <w:t>IECEx</w:t>
      </w:r>
      <w:r w:rsidRPr="0088664A">
        <w:rPr>
          <w:rFonts w:cstheme="minorHAnsi"/>
        </w:rPr>
        <w:t xml:space="preserve">, o que faz com que este tipo de proteção seja cada vez </w:t>
      </w:r>
      <w:r w:rsidRPr="00241D58">
        <w:rPr>
          <w:rFonts w:cstheme="minorHAnsi"/>
          <w:b/>
        </w:rPr>
        <w:t>difundido</w:t>
      </w:r>
      <w:r w:rsidRPr="0088664A">
        <w:rPr>
          <w:rFonts w:cstheme="minorHAnsi"/>
        </w:rPr>
        <w:t xml:space="preserve"> e aplicado nos recentes projetos e empreendimentos das indústrias das áreas químicas e petroquímicas, entre outras. </w:t>
      </w:r>
    </w:p>
    <w:p w14:paraId="427694E3" w14:textId="77777777" w:rsidR="00241D58" w:rsidRDefault="00241D58"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A3AAFA4"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lastRenderedPageBreak/>
        <w:t xml:space="preserve">Apesar dos elevados níveis de segurança proporcionados pelos equipamentos e sistemas Ex “i”, para assegurar que estes continuem apresentando os requisitos de proteção e segurança para os quais foram fabricados e certificados há a necessidade de que haja um sistema de </w:t>
      </w:r>
      <w:r w:rsidRPr="00241D58">
        <w:rPr>
          <w:rFonts w:cstheme="minorHAnsi"/>
          <w:b/>
        </w:rPr>
        <w:t>inspeções periódicas e de manutenção</w:t>
      </w:r>
      <w:r w:rsidRPr="0088664A">
        <w:rPr>
          <w:rFonts w:cstheme="minorHAnsi"/>
        </w:rPr>
        <w:t>, ao longo de todo o tempo em que estes instrumentos, equipamentos, dispositivos e sistemas permanecem instalados em áreas classificadas, aos longos dos anos ou décadas de operação das plantas industriais.</w:t>
      </w:r>
    </w:p>
    <w:p w14:paraId="187104FE"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2D932A7"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As atividades de </w:t>
      </w:r>
      <w:r w:rsidRPr="00241D58">
        <w:rPr>
          <w:rFonts w:cstheme="minorHAnsi"/>
          <w:b/>
        </w:rPr>
        <w:t>inspeção e manutenção</w:t>
      </w:r>
      <w:r w:rsidRPr="0088664A">
        <w:rPr>
          <w:rFonts w:cstheme="minorHAnsi"/>
        </w:rPr>
        <w:t xml:space="preserve"> de equipamentos e instalações Ex “i” podem ser consideradas como uma das mais importantes ações no sentido de se atingir os níveis requeridos de segurança destas instalações. Estas atividades podem ser consideradas como sendo o “coração” de todo um processo de gestão de pessoas em instalações envolvendo atmosferas explosivas.</w:t>
      </w:r>
    </w:p>
    <w:p w14:paraId="21791B38"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E15F20F"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Cada vez mais se torna evidente que somente a existência de um programa de avaliação da conformidade para a certificação de equipamentos Ex “i” </w:t>
      </w:r>
      <w:r w:rsidRPr="0018591F">
        <w:rPr>
          <w:rFonts w:cstheme="minorHAnsi"/>
          <w:b/>
        </w:rPr>
        <w:t>não é suficiente</w:t>
      </w:r>
      <w:r w:rsidRPr="0088664A">
        <w:rPr>
          <w:rFonts w:cstheme="minorHAnsi"/>
        </w:rPr>
        <w:t xml:space="preserve"> para garantir os elevados níveis de segurança requeridos nestas instalações industriais com atmosferas explosivas de </w:t>
      </w:r>
      <w:r w:rsidRPr="0018591F">
        <w:rPr>
          <w:rFonts w:cstheme="minorHAnsi"/>
          <w:b/>
        </w:rPr>
        <w:t>gases inflamáveis</w:t>
      </w:r>
      <w:r w:rsidRPr="0088664A">
        <w:rPr>
          <w:rFonts w:cstheme="minorHAnsi"/>
        </w:rPr>
        <w:t xml:space="preserve"> </w:t>
      </w:r>
      <w:r w:rsidR="0018591F">
        <w:rPr>
          <w:rFonts w:cstheme="minorHAnsi"/>
        </w:rPr>
        <w:t>ou</w:t>
      </w:r>
      <w:r w:rsidRPr="0088664A">
        <w:rPr>
          <w:rFonts w:cstheme="minorHAnsi"/>
        </w:rPr>
        <w:t xml:space="preserve"> </w:t>
      </w:r>
      <w:r w:rsidRPr="0018591F">
        <w:rPr>
          <w:rFonts w:cstheme="minorHAnsi"/>
          <w:b/>
        </w:rPr>
        <w:t>poeiras combustíveis</w:t>
      </w:r>
      <w:r w:rsidRPr="0088664A">
        <w:rPr>
          <w:rFonts w:cstheme="minorHAnsi"/>
        </w:rPr>
        <w:t>.</w:t>
      </w:r>
    </w:p>
    <w:p w14:paraId="6AF4048F"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E5FDD5C"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Pode ser verificado, na verdade, que </w:t>
      </w:r>
      <w:r w:rsidR="00B65FFF">
        <w:rPr>
          <w:rFonts w:cstheme="minorHAnsi"/>
        </w:rPr>
        <w:t>não é suficiente</w:t>
      </w:r>
      <w:r w:rsidRPr="0088664A">
        <w:rPr>
          <w:rFonts w:cstheme="minorHAnsi"/>
        </w:rPr>
        <w:t xml:space="preserve"> que os equipamentos intrinsecamente seguros e associados tenham devidamente </w:t>
      </w:r>
      <w:r w:rsidRPr="00B65FFF">
        <w:rPr>
          <w:rFonts w:cstheme="minorHAnsi"/>
          <w:b/>
        </w:rPr>
        <w:t xml:space="preserve">fabricados, ensaiados em </w:t>
      </w:r>
      <w:r w:rsidR="00B65FFF">
        <w:rPr>
          <w:rFonts w:cstheme="minorHAnsi"/>
          <w:b/>
        </w:rPr>
        <w:t>laboratório</w:t>
      </w:r>
      <w:r w:rsidRPr="00B65FFF">
        <w:rPr>
          <w:rFonts w:cstheme="minorHAnsi"/>
          <w:b/>
        </w:rPr>
        <w:t xml:space="preserve"> e certificados</w:t>
      </w:r>
      <w:r w:rsidRPr="0088664A">
        <w:rPr>
          <w:rFonts w:cstheme="minorHAnsi"/>
        </w:rPr>
        <w:t xml:space="preserve">, se as </w:t>
      </w:r>
      <w:r w:rsidRPr="0018591F">
        <w:rPr>
          <w:rFonts w:cstheme="minorHAnsi"/>
          <w:b/>
        </w:rPr>
        <w:t>pessoas</w:t>
      </w:r>
      <w:r w:rsidRPr="0088664A">
        <w:rPr>
          <w:rFonts w:cstheme="minorHAnsi"/>
        </w:rPr>
        <w:t xml:space="preserve"> não possuem os devidos treinamentos, conhecimentos, habilidades, qualificações e competências para a execução das atividades </w:t>
      </w:r>
      <w:r w:rsidR="00B65FFF">
        <w:rPr>
          <w:rFonts w:cstheme="minorHAnsi"/>
        </w:rPr>
        <w:t xml:space="preserve">de execução ou de supervisão </w:t>
      </w:r>
      <w:r w:rsidRPr="0088664A">
        <w:rPr>
          <w:rFonts w:cstheme="minorHAnsi"/>
        </w:rPr>
        <w:t>de projeto, seleção, especificação técnica, instalação, montagem, inspeções, reparos, revisão e recuperação destes equipamentos e instalações Ex “i".</w:t>
      </w:r>
    </w:p>
    <w:p w14:paraId="2EBBCC31"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5954F5C"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Para que os sistemas intrinsecamente seguros possam ser devidamente projetados, instalados, inspecionados, mantidos e reparados, de acordo com as Normas ABNT NBR IEC 60079 - </w:t>
      </w:r>
      <w:r w:rsidRPr="00B65FFF">
        <w:rPr>
          <w:rFonts w:cstheme="minorHAnsi"/>
          <w:b/>
        </w:rPr>
        <w:t>Partes 1</w:t>
      </w:r>
      <w:r w:rsidR="00241D58" w:rsidRPr="00B65FFF">
        <w:rPr>
          <w:rFonts w:cstheme="minorHAnsi"/>
          <w:b/>
        </w:rPr>
        <w:t>1, 1</w:t>
      </w:r>
      <w:r w:rsidRPr="00B65FFF">
        <w:rPr>
          <w:rFonts w:cstheme="minorHAnsi"/>
          <w:b/>
        </w:rPr>
        <w:t>4, 17</w:t>
      </w:r>
      <w:r w:rsidR="00241D58" w:rsidRPr="00B65FFF">
        <w:rPr>
          <w:rFonts w:cstheme="minorHAnsi"/>
          <w:b/>
        </w:rPr>
        <w:t xml:space="preserve">, </w:t>
      </w:r>
      <w:r w:rsidRPr="00B65FFF">
        <w:rPr>
          <w:rFonts w:cstheme="minorHAnsi"/>
          <w:b/>
        </w:rPr>
        <w:t>19</w:t>
      </w:r>
      <w:r w:rsidR="00241D58" w:rsidRPr="00B65FFF">
        <w:rPr>
          <w:rFonts w:cstheme="minorHAnsi"/>
          <w:b/>
        </w:rPr>
        <w:t>, 25 e 39</w:t>
      </w:r>
      <w:r w:rsidRPr="0088664A">
        <w:rPr>
          <w:rFonts w:cstheme="minorHAnsi"/>
        </w:rPr>
        <w:t xml:space="preserve">, há a necessidade que as pessoas envolvidas nestas atividades possuem os devidos treinamentos, conhecimentos, habilidades, qualificações e </w:t>
      </w:r>
      <w:r w:rsidRPr="00241D58">
        <w:rPr>
          <w:rFonts w:cstheme="minorHAnsi"/>
          <w:b/>
        </w:rPr>
        <w:t>competências</w:t>
      </w:r>
      <w:r w:rsidRPr="0088664A">
        <w:rPr>
          <w:rFonts w:cstheme="minorHAnsi"/>
        </w:rPr>
        <w:t xml:space="preserve"> para a realização das funções para as quais estas sejam responsáveis.</w:t>
      </w:r>
    </w:p>
    <w:p w14:paraId="7C127B46"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C101A33"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Sob o ponto de vista de </w:t>
      </w:r>
      <w:r w:rsidRPr="0088664A">
        <w:rPr>
          <w:rFonts w:cstheme="minorHAnsi"/>
          <w:u w:val="single"/>
        </w:rPr>
        <w:t>segurança industrial</w:t>
      </w:r>
      <w:r w:rsidRPr="0088664A">
        <w:rPr>
          <w:rFonts w:cstheme="minorHAnsi"/>
        </w:rPr>
        <w:t xml:space="preserve"> </w:t>
      </w:r>
      <w:r w:rsidRPr="0088664A">
        <w:rPr>
          <w:rFonts w:cstheme="minorHAnsi"/>
          <w:b/>
        </w:rPr>
        <w:t>de pouco adianta</w:t>
      </w:r>
      <w:r w:rsidRPr="0088664A">
        <w:rPr>
          <w:rFonts w:cstheme="minorHAnsi"/>
        </w:rPr>
        <w:t xml:space="preserve"> que os equipamentos elétricos “Ex” tenham sido certificados de terceira parte, por Organismos de Certificação de Produtos, acreditados, se os mesmos não são devidamente especificados, instalados, inspecionados, mantidos ou reparos, ao longo das décadas em que normalmente permanecem instalados em locais de elevado riscos de explosão, contendo atmosferas explosivas de gases inflamáveis ou de poeiras combustíveis.</w:t>
      </w:r>
    </w:p>
    <w:p w14:paraId="40C9F46A"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EB250EA"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Isto pode ser verificado em função das diversas </w:t>
      </w:r>
      <w:r w:rsidRPr="0088664A">
        <w:rPr>
          <w:rFonts w:cstheme="minorHAnsi"/>
          <w:b/>
        </w:rPr>
        <w:t>não conformidades</w:t>
      </w:r>
      <w:r w:rsidRPr="0088664A">
        <w:rPr>
          <w:rFonts w:cstheme="minorHAnsi"/>
        </w:rPr>
        <w:t xml:space="preserve"> de projeto, montagem, inspeção, manutenção e reparos que são frequentemente verificadas nas instalações em áreas classificadas de diversas indústrias das áreas do petróleo, petroquímica, química, silos de grãos, sucroalcooleira e de alimentos. Tais não conformidades podem invalidar as proteções proporcionadas pelos equipamentos “Ex” certificados e colocar em risco as instalações em atmosferas explosivas nas quais tais equipamentos foram instalados.</w:t>
      </w:r>
    </w:p>
    <w:p w14:paraId="39D6E2A5"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3C1B248"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Para que estes níveis de segurança possam ser elevados há a necessidade de uma </w:t>
      </w:r>
      <w:r w:rsidRPr="0088664A">
        <w:rPr>
          <w:rFonts w:cstheme="minorHAnsi"/>
          <w:b/>
        </w:rPr>
        <w:t>nova postura</w:t>
      </w:r>
      <w:r w:rsidRPr="0088664A">
        <w:rPr>
          <w:rFonts w:cstheme="minorHAnsi"/>
        </w:rPr>
        <w:t xml:space="preserve"> com relação a este problema, com a adoção de um ponto de vista de certificação que não fique limitado somente à certificação dos equipamentos “Ex”, mas incluindo também a certificação das pessoas e das empresas que realizam serviços em áreas classificadas.</w:t>
      </w:r>
    </w:p>
    <w:p w14:paraId="38E11B92"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EEB7859"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As deficiências e não conformidades que são introduzidas durante a realização das atividades de instalação, manutenção ou reparos, fazem com que os equipamentos “Ex” percam as suas características originais de proteção contra a ignição de atmosferas explosivas que podem estar presentes em seus locais de instalação. Estas deficiências são, na maioria das vezes, decorrentes de falta de </w:t>
      </w:r>
      <w:r w:rsidRPr="0088664A">
        <w:rPr>
          <w:rFonts w:cstheme="minorHAnsi"/>
          <w:b/>
        </w:rPr>
        <w:t>treinamentos, conhecimentos, experiências, habilidades, qualificações</w:t>
      </w:r>
      <w:r w:rsidRPr="0088664A">
        <w:rPr>
          <w:rFonts w:cstheme="minorHAnsi"/>
        </w:rPr>
        <w:t xml:space="preserve"> e certificação das competências das pessoas responsáveis e dos executantes destes tipos de serviços.</w:t>
      </w:r>
    </w:p>
    <w:p w14:paraId="1A74ACAD"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911211F"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A abordagem de certificação com base no “</w:t>
      </w:r>
      <w:r w:rsidRPr="0088664A">
        <w:rPr>
          <w:rFonts w:cstheme="minorHAnsi"/>
          <w:b/>
        </w:rPr>
        <w:t>ciclo total de vida</w:t>
      </w:r>
      <w:r w:rsidRPr="0088664A">
        <w:rPr>
          <w:rFonts w:cstheme="minorHAnsi"/>
        </w:rPr>
        <w:t xml:space="preserve">” das instalações “Ex” reconhece o fato de que somente a “tradicional” certificação de equipamentos “Ex” </w:t>
      </w:r>
      <w:r w:rsidRPr="0088664A">
        <w:rPr>
          <w:rFonts w:cstheme="minorHAnsi"/>
          <w:b/>
        </w:rPr>
        <w:t>não é suficiente</w:t>
      </w:r>
      <w:r w:rsidRPr="0088664A">
        <w:rPr>
          <w:rFonts w:cstheme="minorHAnsi"/>
        </w:rPr>
        <w:t xml:space="preserve"> para garantir a segurança das instalações em atmosferas explosivas e nem das pessoas que nelas trabalham. </w:t>
      </w:r>
    </w:p>
    <w:p w14:paraId="7130658B"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8B48A0B"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Sob o ponto de vista do ciclo total de vida das instalações elétricas em atmosferas explosivas, os equipamentos elétricos “Ex” necessitam estar seguros </w:t>
      </w:r>
      <w:r w:rsidRPr="0088664A">
        <w:rPr>
          <w:rFonts w:cstheme="minorHAnsi"/>
          <w:u w:val="single"/>
        </w:rPr>
        <w:t>durante todo o tempo em que permanecem instalados em áreas classificadas</w:t>
      </w:r>
      <w:r w:rsidRPr="0088664A">
        <w:rPr>
          <w:rFonts w:cstheme="minorHAnsi"/>
        </w:rPr>
        <w:t xml:space="preserve">, ao longo de décadas, e não somente quando estes equipamentos saem das fábricas. Neste sentido, existe a necessidade </w:t>
      </w:r>
      <w:r w:rsidRPr="0088664A">
        <w:rPr>
          <w:rFonts w:cstheme="minorHAnsi"/>
          <w:b/>
        </w:rPr>
        <w:t>básica</w:t>
      </w:r>
      <w:r w:rsidRPr="0088664A">
        <w:rPr>
          <w:rFonts w:cstheme="minorHAnsi"/>
        </w:rPr>
        <w:t xml:space="preserve"> de certificação também das </w:t>
      </w:r>
      <w:r w:rsidRPr="0088664A">
        <w:rPr>
          <w:rFonts w:cstheme="minorHAnsi"/>
          <w:b/>
        </w:rPr>
        <w:t>competências das pessoas</w:t>
      </w:r>
      <w:r w:rsidRPr="0088664A">
        <w:rPr>
          <w:rFonts w:cstheme="minorHAnsi"/>
        </w:rPr>
        <w:t xml:space="preserve"> que realizam atividades em áreas classificadas bem como das </w:t>
      </w:r>
      <w:r w:rsidRPr="0088664A">
        <w:rPr>
          <w:rFonts w:cstheme="minorHAnsi"/>
          <w:b/>
        </w:rPr>
        <w:t>empresas</w:t>
      </w:r>
      <w:r w:rsidRPr="0088664A">
        <w:rPr>
          <w:rFonts w:cstheme="minorHAnsi"/>
        </w:rPr>
        <w:t xml:space="preserve"> de prestação de serviços, tais como empresas projetistas, de montagem, de inspeção, de manutenção e oficinas de serviços de reparo, revisão e recuperação de equipamentos “Ex”.</w:t>
      </w:r>
    </w:p>
    <w:p w14:paraId="7120AE45"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DCA8AF3" w14:textId="77777777" w:rsidR="00E87CA7" w:rsidRPr="0088664A" w:rsidRDefault="00E87CA7"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Muito mais do que na simples certificação de equipamentos “Ex”, é na certificação prioritária das empresas de serviços “Ex” e na certificação prioritária das competências pessoais “Ex” das pessoas envolvidas com as diversas atividades envolvendo equipamentos e instalações “Ex”, que reside grande parte da </w:t>
      </w:r>
      <w:r w:rsidRPr="0088664A">
        <w:rPr>
          <w:rFonts w:cstheme="minorHAnsi"/>
          <w:b/>
        </w:rPr>
        <w:t>segurança</w:t>
      </w:r>
      <w:r w:rsidRPr="0088664A">
        <w:rPr>
          <w:rFonts w:cstheme="minorHAnsi"/>
        </w:rPr>
        <w:t xml:space="preserve"> e da </w:t>
      </w:r>
      <w:r w:rsidRPr="0088664A">
        <w:rPr>
          <w:rFonts w:cstheme="minorHAnsi"/>
          <w:b/>
        </w:rPr>
        <w:t>conformidade</w:t>
      </w:r>
      <w:r w:rsidRPr="0088664A">
        <w:rPr>
          <w:rFonts w:cstheme="minorHAnsi"/>
        </w:rPr>
        <w:t xml:space="preserve"> das instalações industriais que processam substâncias inflamáveis e poeiras combustíveis, tal como a indústria do petróleo, petroquímica, química, silos de grãos, farelos, adubo e fertilizantes, farmacêutica, de alimentos e sucroalcooleira.</w:t>
      </w:r>
    </w:p>
    <w:p w14:paraId="2E4145C0" w14:textId="77777777" w:rsidR="006204DD" w:rsidRPr="0088664A"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91D9671" w14:textId="77777777" w:rsidR="0075630B" w:rsidRDefault="006204DD"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No Brasil</w:t>
      </w:r>
      <w:r w:rsidR="0075630B">
        <w:rPr>
          <w:rFonts w:cstheme="minorHAnsi"/>
        </w:rPr>
        <w:t xml:space="preserve"> e em diversos outros países do mundo</w:t>
      </w:r>
      <w:r w:rsidRPr="0088664A">
        <w:rPr>
          <w:rFonts w:cstheme="minorHAnsi"/>
        </w:rPr>
        <w:t xml:space="preserve"> encontram-se em </w:t>
      </w:r>
      <w:r w:rsidR="000434A8">
        <w:rPr>
          <w:rFonts w:cstheme="minorHAnsi"/>
        </w:rPr>
        <w:t>andamento</w:t>
      </w:r>
      <w:r w:rsidRPr="0088664A">
        <w:rPr>
          <w:rFonts w:cstheme="minorHAnsi"/>
        </w:rPr>
        <w:t xml:space="preserve"> </w:t>
      </w:r>
      <w:r w:rsidR="000434A8">
        <w:rPr>
          <w:rFonts w:cstheme="minorHAnsi"/>
        </w:rPr>
        <w:t xml:space="preserve">ações </w:t>
      </w:r>
      <w:r w:rsidRPr="0088664A">
        <w:rPr>
          <w:rFonts w:cstheme="minorHAnsi"/>
        </w:rPr>
        <w:t xml:space="preserve">sobre </w:t>
      </w:r>
      <w:r w:rsidR="0075630B">
        <w:rPr>
          <w:rFonts w:cstheme="minorHAnsi"/>
        </w:rPr>
        <w:t>estabelecimento de</w:t>
      </w:r>
      <w:r w:rsidRPr="0088664A">
        <w:rPr>
          <w:rFonts w:cstheme="minorHAnsi"/>
        </w:rPr>
        <w:t xml:space="preserve"> requisitos de </w:t>
      </w:r>
      <w:r w:rsidRPr="0075630B">
        <w:rPr>
          <w:rFonts w:cstheme="minorHAnsi"/>
          <w:b/>
        </w:rPr>
        <w:t>certificação</w:t>
      </w:r>
      <w:r w:rsidRPr="0088664A">
        <w:rPr>
          <w:rFonts w:cstheme="minorHAnsi"/>
        </w:rPr>
        <w:t xml:space="preserve"> de competências </w:t>
      </w:r>
      <w:r w:rsidRPr="0075630B">
        <w:rPr>
          <w:rFonts w:cstheme="minorHAnsi"/>
          <w:b/>
        </w:rPr>
        <w:t>pessoais</w:t>
      </w:r>
      <w:r w:rsidRPr="0088664A">
        <w:rPr>
          <w:rFonts w:cstheme="minorHAnsi"/>
        </w:rPr>
        <w:t xml:space="preserve"> </w:t>
      </w:r>
      <w:r w:rsidR="0075630B">
        <w:rPr>
          <w:rFonts w:cstheme="minorHAnsi"/>
        </w:rPr>
        <w:t xml:space="preserve">“Ex” </w:t>
      </w:r>
      <w:r w:rsidRPr="0088664A">
        <w:rPr>
          <w:rFonts w:cstheme="minorHAnsi"/>
        </w:rPr>
        <w:t xml:space="preserve">e de </w:t>
      </w:r>
      <w:r w:rsidR="000434A8">
        <w:rPr>
          <w:rFonts w:cstheme="minorHAnsi"/>
        </w:rPr>
        <w:t xml:space="preserve">empresas </w:t>
      </w:r>
      <w:r w:rsidRPr="0088664A">
        <w:rPr>
          <w:rFonts w:cstheme="minorHAnsi"/>
        </w:rPr>
        <w:t xml:space="preserve">de </w:t>
      </w:r>
      <w:r w:rsidRPr="0075630B">
        <w:rPr>
          <w:rFonts w:cstheme="minorHAnsi"/>
          <w:b/>
        </w:rPr>
        <w:t>serviços</w:t>
      </w:r>
      <w:r w:rsidRPr="0088664A">
        <w:rPr>
          <w:rFonts w:cstheme="minorHAnsi"/>
        </w:rPr>
        <w:t xml:space="preserve"> “Ex”, </w:t>
      </w:r>
      <w:r w:rsidR="000434A8">
        <w:rPr>
          <w:rFonts w:cstheme="minorHAnsi"/>
        </w:rPr>
        <w:t xml:space="preserve">com base </w:t>
      </w:r>
      <w:r w:rsidRPr="0088664A">
        <w:rPr>
          <w:rFonts w:cstheme="minorHAnsi"/>
        </w:rPr>
        <w:t xml:space="preserve">em requisitos </w:t>
      </w:r>
      <w:r w:rsidR="000434A8">
        <w:rPr>
          <w:rFonts w:cstheme="minorHAnsi"/>
        </w:rPr>
        <w:t xml:space="preserve">das Normas Técnicas da Série </w:t>
      </w:r>
      <w:r w:rsidR="000434A8" w:rsidRPr="0075630B">
        <w:rPr>
          <w:rFonts w:cstheme="minorHAnsi"/>
          <w:b/>
        </w:rPr>
        <w:t>IEC 60079</w:t>
      </w:r>
      <w:r w:rsidR="000434A8">
        <w:rPr>
          <w:rFonts w:cstheme="minorHAnsi"/>
        </w:rPr>
        <w:t xml:space="preserve"> e em requisitos </w:t>
      </w:r>
      <w:r w:rsidRPr="0075630B">
        <w:rPr>
          <w:rFonts w:cstheme="minorHAnsi"/>
          <w:b/>
        </w:rPr>
        <w:t>internacionalmente</w:t>
      </w:r>
      <w:r w:rsidRPr="0088664A">
        <w:rPr>
          <w:rFonts w:cstheme="minorHAnsi"/>
        </w:rPr>
        <w:t xml:space="preserve"> discutidos, </w:t>
      </w:r>
      <w:r w:rsidR="000434A8">
        <w:rPr>
          <w:rFonts w:cstheme="minorHAnsi"/>
        </w:rPr>
        <w:t>consensados</w:t>
      </w:r>
      <w:r w:rsidRPr="0088664A">
        <w:rPr>
          <w:rFonts w:cstheme="minorHAnsi"/>
        </w:rPr>
        <w:t xml:space="preserve"> e reconhecidos, contidos em </w:t>
      </w:r>
      <w:r w:rsidR="000434A8" w:rsidRPr="0088664A">
        <w:rPr>
          <w:rFonts w:cstheme="minorHAnsi"/>
        </w:rPr>
        <w:t xml:space="preserve">Documentos Operacionais </w:t>
      </w:r>
      <w:r w:rsidRPr="0088664A">
        <w:rPr>
          <w:rFonts w:cstheme="minorHAnsi"/>
        </w:rPr>
        <w:t xml:space="preserve">do </w:t>
      </w:r>
      <w:r w:rsidRPr="0075630B">
        <w:rPr>
          <w:rFonts w:cstheme="minorHAnsi"/>
          <w:b/>
        </w:rPr>
        <w:t>IECEx</w:t>
      </w:r>
      <w:r w:rsidR="000434A8">
        <w:rPr>
          <w:rFonts w:cstheme="minorHAnsi"/>
        </w:rPr>
        <w:t xml:space="preserve">, que contam com o apoio das </w:t>
      </w:r>
      <w:r w:rsidR="000434A8" w:rsidRPr="0075630B">
        <w:rPr>
          <w:rFonts w:cstheme="minorHAnsi"/>
          <w:b/>
        </w:rPr>
        <w:t>Nações Unidas</w:t>
      </w:r>
      <w:r w:rsidRPr="0088664A">
        <w:rPr>
          <w:rFonts w:cstheme="minorHAnsi"/>
        </w:rPr>
        <w:t xml:space="preserve">. </w:t>
      </w:r>
    </w:p>
    <w:p w14:paraId="1F212FAA" w14:textId="77777777" w:rsidR="0075630B" w:rsidRDefault="0075630B"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72E5297" w14:textId="77777777" w:rsidR="006204DD" w:rsidRPr="0088664A" w:rsidRDefault="0075630B"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Pr>
          <w:rFonts w:cstheme="minorHAnsi"/>
        </w:rPr>
        <w:t>No Brasil, e</w:t>
      </w:r>
      <w:r w:rsidR="006204DD" w:rsidRPr="0088664A">
        <w:rPr>
          <w:rFonts w:cstheme="minorHAnsi"/>
        </w:rPr>
        <w:t xml:space="preserve">stas </w:t>
      </w:r>
      <w:r w:rsidR="00B65FFF">
        <w:rPr>
          <w:rFonts w:cstheme="minorHAnsi"/>
        </w:rPr>
        <w:t>ações</w:t>
      </w:r>
      <w:r w:rsidR="006204DD" w:rsidRPr="0088664A">
        <w:rPr>
          <w:rFonts w:cstheme="minorHAnsi"/>
        </w:rPr>
        <w:t xml:space="preserve"> representam importantes passos na direção da </w:t>
      </w:r>
      <w:r w:rsidR="006204DD" w:rsidRPr="0075630B">
        <w:rPr>
          <w:rFonts w:cstheme="minorHAnsi"/>
          <w:b/>
        </w:rPr>
        <w:t>segurança industrial</w:t>
      </w:r>
      <w:r w:rsidR="006204DD" w:rsidRPr="0088664A">
        <w:rPr>
          <w:rFonts w:cstheme="minorHAnsi"/>
        </w:rPr>
        <w:t xml:space="preserve"> em áreas classificadas, dando </w:t>
      </w:r>
      <w:r w:rsidR="006204DD" w:rsidRPr="0088664A">
        <w:rPr>
          <w:rFonts w:cstheme="minorHAnsi"/>
          <w:b/>
        </w:rPr>
        <w:t>continuidade</w:t>
      </w:r>
      <w:r w:rsidR="006204DD" w:rsidRPr="0088664A">
        <w:rPr>
          <w:rFonts w:cstheme="minorHAnsi"/>
        </w:rPr>
        <w:t xml:space="preserve"> e representando um </w:t>
      </w:r>
      <w:r w:rsidR="006204DD" w:rsidRPr="0088664A">
        <w:rPr>
          <w:rFonts w:cstheme="minorHAnsi"/>
          <w:b/>
        </w:rPr>
        <w:t>segundo</w:t>
      </w:r>
      <w:r w:rsidR="006204DD" w:rsidRPr="0088664A">
        <w:rPr>
          <w:rFonts w:cstheme="minorHAnsi"/>
        </w:rPr>
        <w:t xml:space="preserve"> passo no processo de certificação “Ex”, iniciado </w:t>
      </w:r>
      <w:r w:rsidR="00E87CA7" w:rsidRPr="0088664A">
        <w:rPr>
          <w:rFonts w:cstheme="minorHAnsi"/>
        </w:rPr>
        <w:t xml:space="preserve">em </w:t>
      </w:r>
      <w:r w:rsidR="00E87CA7" w:rsidRPr="0088664A">
        <w:rPr>
          <w:rFonts w:cstheme="minorHAnsi"/>
          <w:b/>
        </w:rPr>
        <w:t>1954</w:t>
      </w:r>
      <w:r w:rsidR="00E87CA7" w:rsidRPr="0088664A">
        <w:rPr>
          <w:rFonts w:cstheme="minorHAnsi"/>
        </w:rPr>
        <w:t xml:space="preserve"> com a realização de ensaios de invólucros à prova de explosão pelo </w:t>
      </w:r>
      <w:r w:rsidR="00E87CA7" w:rsidRPr="00B65FFF">
        <w:rPr>
          <w:rFonts w:cstheme="minorHAnsi"/>
          <w:b/>
        </w:rPr>
        <w:t>IEE da USP</w:t>
      </w:r>
      <w:r w:rsidR="00E87CA7" w:rsidRPr="0088664A">
        <w:rPr>
          <w:rFonts w:cstheme="minorHAnsi"/>
        </w:rPr>
        <w:t xml:space="preserve"> e com a </w:t>
      </w:r>
      <w:r w:rsidR="00B65FFF">
        <w:rPr>
          <w:rFonts w:cstheme="minorHAnsi"/>
        </w:rPr>
        <w:t xml:space="preserve">posterior </w:t>
      </w:r>
      <w:r w:rsidR="00E87CA7" w:rsidRPr="0088664A">
        <w:rPr>
          <w:rFonts w:cstheme="minorHAnsi"/>
        </w:rPr>
        <w:t xml:space="preserve">emissão, em </w:t>
      </w:r>
      <w:r w:rsidR="006204DD" w:rsidRPr="0088664A">
        <w:rPr>
          <w:rFonts w:cstheme="minorHAnsi"/>
          <w:b/>
        </w:rPr>
        <w:t>199</w:t>
      </w:r>
      <w:r w:rsidR="00E87CA7" w:rsidRPr="0088664A">
        <w:rPr>
          <w:rFonts w:cstheme="minorHAnsi"/>
          <w:b/>
        </w:rPr>
        <w:t>1</w:t>
      </w:r>
      <w:r w:rsidR="006204DD" w:rsidRPr="0088664A">
        <w:rPr>
          <w:rFonts w:cstheme="minorHAnsi"/>
        </w:rPr>
        <w:t xml:space="preserve">, </w:t>
      </w:r>
      <w:r w:rsidR="00E87CA7" w:rsidRPr="0088664A">
        <w:rPr>
          <w:rFonts w:cstheme="minorHAnsi"/>
        </w:rPr>
        <w:t xml:space="preserve">da Portaria 0164 do Inmetro sobre </w:t>
      </w:r>
      <w:r w:rsidR="006204DD" w:rsidRPr="0088664A">
        <w:rPr>
          <w:rFonts w:cstheme="minorHAnsi"/>
        </w:rPr>
        <w:t>certificação</w:t>
      </w:r>
      <w:r w:rsidR="00E87CA7" w:rsidRPr="0088664A">
        <w:rPr>
          <w:rFonts w:cstheme="minorHAnsi"/>
        </w:rPr>
        <w:t xml:space="preserve"> compulsória </w:t>
      </w:r>
      <w:r w:rsidR="006204DD" w:rsidRPr="0088664A">
        <w:rPr>
          <w:rFonts w:cstheme="minorHAnsi"/>
        </w:rPr>
        <w:t xml:space="preserve">de equipamentos </w:t>
      </w:r>
      <w:r w:rsidR="00E87CA7" w:rsidRPr="00B65FFF">
        <w:rPr>
          <w:rFonts w:cstheme="minorHAnsi"/>
          <w:b/>
        </w:rPr>
        <w:t>elétricos</w:t>
      </w:r>
      <w:r w:rsidR="00E87CA7" w:rsidRPr="0088664A">
        <w:rPr>
          <w:rFonts w:cstheme="minorHAnsi"/>
        </w:rPr>
        <w:t xml:space="preserve"> </w:t>
      </w:r>
      <w:r w:rsidR="006204DD" w:rsidRPr="0088664A">
        <w:rPr>
          <w:rFonts w:cstheme="minorHAnsi"/>
        </w:rPr>
        <w:t>para atmosferas explosivas.</w:t>
      </w:r>
    </w:p>
    <w:p w14:paraId="27234FC9" w14:textId="77777777" w:rsidR="00456FAB" w:rsidRPr="0088664A" w:rsidRDefault="00456FAB"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0B89F33" w14:textId="5FD4C417" w:rsidR="00456FAB" w:rsidRPr="0088664A" w:rsidRDefault="00456FAB"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88664A">
        <w:rPr>
          <w:rFonts w:cstheme="minorHAnsi"/>
        </w:rPr>
        <w:t xml:space="preserve">Maiores informações sobre as </w:t>
      </w:r>
      <w:r w:rsidR="0022440E" w:rsidRPr="0088664A">
        <w:rPr>
          <w:rFonts w:cstheme="minorHAnsi"/>
        </w:rPr>
        <w:t xml:space="preserve">Normas Técnicas Brasileiras </w:t>
      </w:r>
      <w:r w:rsidRPr="0088664A">
        <w:rPr>
          <w:rFonts w:cstheme="minorHAnsi"/>
        </w:rPr>
        <w:t xml:space="preserve">adotadas das Séries </w:t>
      </w:r>
      <w:r w:rsidRPr="0088664A">
        <w:rPr>
          <w:rFonts w:cstheme="minorHAnsi"/>
          <w:b/>
        </w:rPr>
        <w:t>ABNT NBR IEC 60079</w:t>
      </w:r>
      <w:r w:rsidRPr="0088664A">
        <w:rPr>
          <w:rFonts w:cstheme="minorHAnsi"/>
        </w:rPr>
        <w:t xml:space="preserve"> (Atmosferas explosivas) e </w:t>
      </w:r>
      <w:r w:rsidRPr="0088664A">
        <w:rPr>
          <w:rFonts w:cstheme="minorHAnsi"/>
          <w:b/>
        </w:rPr>
        <w:t>ABNT NBR ISO 80079</w:t>
      </w:r>
      <w:r w:rsidRPr="0088664A">
        <w:rPr>
          <w:rFonts w:cstheme="minorHAnsi"/>
        </w:rPr>
        <w:t xml:space="preserve"> (Equipamentos mecânicos “Ex”) estão disponíveis no </w:t>
      </w:r>
      <w:r w:rsidRPr="0018591F">
        <w:rPr>
          <w:rFonts w:cstheme="minorHAnsi"/>
          <w:i/>
        </w:rPr>
        <w:t>website</w:t>
      </w:r>
      <w:r w:rsidRPr="0088664A">
        <w:rPr>
          <w:rFonts w:cstheme="minorHAnsi"/>
        </w:rPr>
        <w:t xml:space="preserve"> do Subcomitê </w:t>
      </w:r>
      <w:r w:rsidRPr="0088664A">
        <w:rPr>
          <w:rFonts w:cstheme="minorHAnsi"/>
          <w:b/>
        </w:rPr>
        <w:t>SCB 003:031</w:t>
      </w:r>
      <w:r w:rsidRPr="0088664A">
        <w:rPr>
          <w:rFonts w:cstheme="minorHAnsi"/>
        </w:rPr>
        <w:t xml:space="preserve"> da ABNT/CB-003:</w:t>
      </w:r>
      <w:r w:rsidR="00241D58">
        <w:rPr>
          <w:rFonts w:cstheme="minorHAnsi"/>
        </w:rPr>
        <w:t xml:space="preserve"> </w:t>
      </w:r>
      <w:hyperlink r:id="rId58" w:history="1">
        <w:r w:rsidRPr="0088664A">
          <w:rPr>
            <w:rStyle w:val="Hyperlink"/>
            <w:rFonts w:cstheme="minorHAnsi"/>
            <w:lang w:val="pt"/>
          </w:rPr>
          <w:t>http://cobei-sc-31-atmosferas-explosivas.blogspot.com</w:t>
        </w:r>
      </w:hyperlink>
    </w:p>
    <w:p w14:paraId="2FA03AB1" w14:textId="26B25B1B" w:rsidR="00612E06" w:rsidRDefault="00612E06"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EF77266" w14:textId="77777777" w:rsidR="00374EB9" w:rsidRPr="0088664A" w:rsidRDefault="00374EB9" w:rsidP="0088664A">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065D0117" w14:textId="77777777" w:rsidR="006204DD" w:rsidRPr="006A7498" w:rsidRDefault="006204DD" w:rsidP="0088664A">
      <w:pPr>
        <w:numPr>
          <w:ilvl w:val="0"/>
          <w:numId w:val="15"/>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ind w:left="426" w:hanging="426"/>
        <w:rPr>
          <w:rFonts w:cstheme="minorHAnsi"/>
          <w:b/>
          <w:bCs/>
          <w:sz w:val="24"/>
        </w:rPr>
      </w:pPr>
      <w:r w:rsidRPr="006A7498">
        <w:rPr>
          <w:rFonts w:cstheme="minorHAnsi"/>
          <w:b/>
          <w:bCs/>
          <w:sz w:val="24"/>
        </w:rPr>
        <w:t>Referências Bibliográficas</w:t>
      </w:r>
    </w:p>
    <w:p w14:paraId="38FF84A1" w14:textId="77777777" w:rsidR="006204DD" w:rsidRPr="0088664A" w:rsidRDefault="006204DD"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Cs/>
        </w:rPr>
      </w:pPr>
    </w:p>
    <w:p w14:paraId="3D8FF3F3" w14:textId="77777777" w:rsidR="006204DD" w:rsidRDefault="006204DD"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DD57EF">
        <w:rPr>
          <w:rFonts w:cstheme="minorHAnsi"/>
          <w:b/>
        </w:rPr>
        <w:t>ABNT NBR IEC 60079-11</w:t>
      </w:r>
      <w:r w:rsidRPr="0088664A">
        <w:rPr>
          <w:rFonts w:cstheme="minorHAnsi"/>
        </w:rPr>
        <w:t>: Proteção de equipament</w:t>
      </w:r>
      <w:r w:rsidR="00526877" w:rsidRPr="0088664A">
        <w:rPr>
          <w:rFonts w:cstheme="minorHAnsi"/>
        </w:rPr>
        <w:t>os por segurança intrínseca “i”</w:t>
      </w:r>
    </w:p>
    <w:p w14:paraId="568E747D" w14:textId="77777777" w:rsidR="00C96727" w:rsidRPr="0088664A" w:rsidRDefault="00C96727"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217B6A1" w14:textId="77777777" w:rsidR="006204DD" w:rsidRDefault="006204DD"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DD57EF">
        <w:rPr>
          <w:rFonts w:cstheme="minorHAnsi"/>
          <w:b/>
        </w:rPr>
        <w:t>ABNT NBR IEC 60079-14</w:t>
      </w:r>
      <w:r w:rsidRPr="0088664A">
        <w:rPr>
          <w:rFonts w:cstheme="minorHAnsi"/>
        </w:rPr>
        <w:t xml:space="preserve">: Projeto, seleção e montagem de instalações elétricas </w:t>
      </w:r>
      <w:bookmarkStart w:id="2" w:name="OLE_LINK1"/>
      <w:bookmarkStart w:id="3" w:name="OLE_LINK2"/>
      <w:r w:rsidRPr="0088664A">
        <w:rPr>
          <w:rFonts w:cstheme="minorHAnsi"/>
        </w:rPr>
        <w:t>“Ex”</w:t>
      </w:r>
      <w:bookmarkEnd w:id="2"/>
      <w:bookmarkEnd w:id="3"/>
    </w:p>
    <w:p w14:paraId="52C60273" w14:textId="77777777" w:rsidR="00C96727" w:rsidRPr="0088664A" w:rsidRDefault="00C96727"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1158C5F4" w14:textId="77777777" w:rsidR="006204DD" w:rsidRDefault="006204DD"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DD57EF">
        <w:rPr>
          <w:rFonts w:cstheme="minorHAnsi"/>
          <w:b/>
        </w:rPr>
        <w:t>ABNT NBR IEC 60079-17</w:t>
      </w:r>
      <w:r w:rsidRPr="0088664A">
        <w:rPr>
          <w:rFonts w:cstheme="minorHAnsi"/>
        </w:rPr>
        <w:t>: Inspeção e manutenção de instalações elétricas “Ex”</w:t>
      </w:r>
    </w:p>
    <w:p w14:paraId="15AEE2C2" w14:textId="77777777" w:rsidR="00C96727" w:rsidRPr="0088664A" w:rsidRDefault="00C96727"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713DDA08" w14:textId="77777777" w:rsidR="006204DD" w:rsidRDefault="006204DD"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bookmarkStart w:id="4" w:name="OLE_LINK5"/>
      <w:bookmarkStart w:id="5" w:name="OLE_LINK6"/>
      <w:r w:rsidRPr="00DD57EF">
        <w:rPr>
          <w:rFonts w:cstheme="minorHAnsi"/>
          <w:b/>
        </w:rPr>
        <w:t>ABNT NBR IEC 60079-19</w:t>
      </w:r>
      <w:r w:rsidRPr="0088664A">
        <w:rPr>
          <w:rFonts w:cstheme="minorHAnsi"/>
        </w:rPr>
        <w:t>: Reparo, revisão e recuperação de equipamentos elétricos “Ex”</w:t>
      </w:r>
    </w:p>
    <w:p w14:paraId="6CE24F87" w14:textId="77777777" w:rsidR="00C96727" w:rsidRPr="0088664A" w:rsidRDefault="00C96727"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bookmarkEnd w:id="4"/>
    <w:bookmarkEnd w:id="5"/>
    <w:p w14:paraId="4111DA2A" w14:textId="77777777" w:rsidR="00241D58" w:rsidRDefault="00241D58"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DD57EF">
        <w:rPr>
          <w:rFonts w:cstheme="minorHAnsi"/>
          <w:b/>
        </w:rPr>
        <w:t>ABNT NBR IEC 60079-25</w:t>
      </w:r>
      <w:r w:rsidRPr="0088664A">
        <w:rPr>
          <w:rFonts w:cstheme="minorHAnsi"/>
        </w:rPr>
        <w:t>: Sistemas elétricos intrinsecamente seguros</w:t>
      </w:r>
    </w:p>
    <w:p w14:paraId="64EB5B4A" w14:textId="77777777" w:rsidR="00C96727" w:rsidRPr="0088664A" w:rsidRDefault="00C96727"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41A2483" w14:textId="77777777" w:rsidR="00241D58" w:rsidRDefault="00241D58"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DD57EF">
        <w:rPr>
          <w:rFonts w:cstheme="minorHAnsi"/>
          <w:b/>
        </w:rPr>
        <w:t>ABNT IEC TS 60079-39</w:t>
      </w:r>
      <w:r w:rsidRPr="0088664A">
        <w:rPr>
          <w:rFonts w:cstheme="minorHAnsi"/>
        </w:rPr>
        <w:t xml:space="preserve">: </w:t>
      </w:r>
      <w:r w:rsidRPr="00241D58">
        <w:rPr>
          <w:rFonts w:cstheme="minorHAnsi"/>
        </w:rPr>
        <w:t>Sistemas intrinsecamente seguros com limitação de duração de centelha controlada eletronicamente (</w:t>
      </w:r>
      <w:r w:rsidRPr="00CE09E2">
        <w:rPr>
          <w:rFonts w:cstheme="minorHAnsi"/>
          <w:i/>
        </w:rPr>
        <w:t>Power “i”</w:t>
      </w:r>
      <w:r w:rsidRPr="00241D58">
        <w:rPr>
          <w:rFonts w:cstheme="minorHAnsi"/>
        </w:rPr>
        <w:t>)</w:t>
      </w:r>
    </w:p>
    <w:p w14:paraId="018E95EA" w14:textId="77777777" w:rsidR="00C96727" w:rsidRPr="00C96727" w:rsidRDefault="00C96727"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619E27C" w14:textId="42808E91" w:rsidR="00755E12" w:rsidRDefault="00755E12"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C96727">
        <w:rPr>
          <w:rFonts w:cstheme="minorHAnsi"/>
          <w:b/>
        </w:rPr>
        <w:t>ABNT DIRETIVA 3</w:t>
      </w:r>
      <w:r w:rsidR="00297754">
        <w:rPr>
          <w:rFonts w:cstheme="minorHAnsi"/>
        </w:rPr>
        <w:t xml:space="preserve">: </w:t>
      </w:r>
      <w:r w:rsidRPr="00C96727">
        <w:rPr>
          <w:rFonts w:cstheme="minorHAnsi"/>
        </w:rPr>
        <w:t>Adoção de documentos técnicos internacionais</w:t>
      </w:r>
    </w:p>
    <w:p w14:paraId="3A129CE5" w14:textId="77777777" w:rsidR="00C96727" w:rsidRPr="00297754" w:rsidRDefault="000C1D06"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sz w:val="16"/>
        </w:rPr>
      </w:pPr>
      <w:hyperlink r:id="rId59" w:history="1">
        <w:r w:rsidR="00C96727" w:rsidRPr="00297754">
          <w:rPr>
            <w:rStyle w:val="Hyperlink"/>
            <w:rFonts w:cstheme="minorHAnsi"/>
            <w:sz w:val="16"/>
          </w:rPr>
          <w:t>http://conexaodt.abnt.org.br/wp-content/uploads/2018/01/ABNTDIRETIVA3_2017.pdf</w:t>
        </w:r>
      </w:hyperlink>
    </w:p>
    <w:p w14:paraId="5A7A65AD" w14:textId="77777777" w:rsidR="00BC7EB9" w:rsidRPr="0088664A" w:rsidRDefault="00BC7EB9" w:rsidP="00BC7EB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49B9091" w14:textId="77777777" w:rsidR="00BC7EB9" w:rsidRDefault="00BC7EB9" w:rsidP="00BC7EB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r w:rsidRPr="00C96727">
        <w:rPr>
          <w:rFonts w:cstheme="minorHAnsi"/>
          <w:b/>
        </w:rPr>
        <w:t>IECEx OD 017</w:t>
      </w:r>
      <w:r>
        <w:rPr>
          <w:rFonts w:cstheme="minorHAnsi"/>
        </w:rPr>
        <w:t xml:space="preserve">: </w:t>
      </w:r>
      <w:r w:rsidRPr="00C96727">
        <w:rPr>
          <w:rFonts w:cstheme="minorHAnsi"/>
        </w:rPr>
        <w:t>Documento Operacional - Orientação sobre desenhos e documentação para a certificação IECEx</w:t>
      </w:r>
    </w:p>
    <w:p w14:paraId="7F05C1AB" w14:textId="77777777" w:rsidR="00BC7EB9" w:rsidRDefault="000C1D06" w:rsidP="00BC7EB9">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sz w:val="16"/>
        </w:rPr>
      </w:pPr>
      <w:hyperlink r:id="rId60" w:history="1">
        <w:r w:rsidR="00BC7EB9" w:rsidRPr="00213781">
          <w:rPr>
            <w:rStyle w:val="Hyperlink"/>
            <w:rFonts w:cstheme="minorHAnsi"/>
            <w:sz w:val="16"/>
          </w:rPr>
          <w:t>https://www.iecex.com/assets/dmsdocuments/1784/OD-017-Ed5-Drawing-documentation-for-use-Manufacturers-ExTLs-pt.pdf</w:t>
        </w:r>
      </w:hyperlink>
    </w:p>
    <w:p w14:paraId="36C8D370" w14:textId="77777777" w:rsidR="00C96727" w:rsidRDefault="00C96727"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51644C86" w14:textId="77777777" w:rsidR="00C96727" w:rsidRPr="001B1E06" w:rsidRDefault="00C96727"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1B1E06">
        <w:rPr>
          <w:rFonts w:cstheme="minorHAnsi"/>
          <w:b/>
        </w:rPr>
        <w:t>O centenário da segurança intrínseca</w:t>
      </w:r>
    </w:p>
    <w:p w14:paraId="0FD88C8C" w14:textId="77777777" w:rsidR="00C96727" w:rsidRPr="00C96727" w:rsidRDefault="000C1D06"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sz w:val="16"/>
        </w:rPr>
      </w:pPr>
      <w:hyperlink r:id="rId61" w:history="1">
        <w:r w:rsidR="00C96727" w:rsidRPr="00C96727">
          <w:rPr>
            <w:rStyle w:val="Hyperlink"/>
            <w:rFonts w:cstheme="minorHAnsi"/>
            <w:sz w:val="16"/>
          </w:rPr>
          <w:t>https://drive.google.com/file/d/1vNXFhP1XNXvvefNSVxazLkMoTmNkxCUk/view</w:t>
        </w:r>
      </w:hyperlink>
    </w:p>
    <w:p w14:paraId="431615A8" w14:textId="77777777" w:rsidR="001B1E06" w:rsidRPr="00C96727" w:rsidRDefault="001B1E06" w:rsidP="001B1E06">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4149B3DC" w14:textId="77777777" w:rsidR="001B1E06" w:rsidRPr="00297754" w:rsidRDefault="001B1E06" w:rsidP="001B1E06">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297754">
        <w:rPr>
          <w:rFonts w:cstheme="minorHAnsi"/>
          <w:b/>
        </w:rPr>
        <w:t>Os 100 primeiros anos da segurança intrínseca</w:t>
      </w:r>
    </w:p>
    <w:p w14:paraId="4385D2FE" w14:textId="77777777" w:rsidR="001B1E06" w:rsidRPr="00C96727" w:rsidRDefault="000C1D06" w:rsidP="001B1E06">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sz w:val="22"/>
        </w:rPr>
      </w:pPr>
      <w:hyperlink r:id="rId62" w:history="1">
        <w:r w:rsidR="001B1E06" w:rsidRPr="00C96727">
          <w:rPr>
            <w:rStyle w:val="Hyperlink"/>
            <w:rFonts w:cstheme="minorHAnsi"/>
            <w:sz w:val="16"/>
          </w:rPr>
          <w:t>https://drive.google.com/file/d/1DPlnewFOXfKzaenzlB7i2XUBgnaYmcYY/view</w:t>
        </w:r>
      </w:hyperlink>
    </w:p>
    <w:p w14:paraId="01947E80" w14:textId="77777777" w:rsidR="00C96727" w:rsidRPr="00C96727" w:rsidRDefault="00C96727"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38C5AB59" w14:textId="77777777" w:rsidR="006204DD" w:rsidRPr="00C22912" w:rsidRDefault="006204DD"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C22912">
        <w:rPr>
          <w:rFonts w:cstheme="minorHAnsi"/>
          <w:b/>
        </w:rPr>
        <w:t xml:space="preserve">O </w:t>
      </w:r>
      <w:r w:rsidR="00DD57EF" w:rsidRPr="00C22912">
        <w:rPr>
          <w:rFonts w:cstheme="minorHAnsi"/>
          <w:b/>
        </w:rPr>
        <w:t xml:space="preserve">Ciclo Total </w:t>
      </w:r>
      <w:r w:rsidRPr="00C22912">
        <w:rPr>
          <w:rFonts w:cstheme="minorHAnsi"/>
          <w:b/>
        </w:rPr>
        <w:t xml:space="preserve">de </w:t>
      </w:r>
      <w:r w:rsidR="00DD57EF" w:rsidRPr="00C22912">
        <w:rPr>
          <w:rFonts w:cstheme="minorHAnsi"/>
          <w:b/>
        </w:rPr>
        <w:t xml:space="preserve">Vida </w:t>
      </w:r>
      <w:r w:rsidRPr="00C22912">
        <w:rPr>
          <w:rFonts w:cstheme="minorHAnsi"/>
          <w:b/>
        </w:rPr>
        <w:t xml:space="preserve">das </w:t>
      </w:r>
      <w:r w:rsidR="00DD57EF" w:rsidRPr="00C22912">
        <w:rPr>
          <w:rFonts w:cstheme="minorHAnsi"/>
          <w:b/>
        </w:rPr>
        <w:t xml:space="preserve">Instalações </w:t>
      </w:r>
      <w:r w:rsidRPr="00C22912">
        <w:rPr>
          <w:rFonts w:cstheme="minorHAnsi"/>
          <w:b/>
        </w:rPr>
        <w:t xml:space="preserve">em </w:t>
      </w:r>
      <w:r w:rsidR="00DD57EF" w:rsidRPr="00C22912">
        <w:rPr>
          <w:rFonts w:cstheme="minorHAnsi"/>
          <w:b/>
        </w:rPr>
        <w:t xml:space="preserve">Atmosferas Explosivas, </w:t>
      </w:r>
      <w:r w:rsidRPr="00C22912">
        <w:rPr>
          <w:rFonts w:cstheme="minorHAnsi"/>
          <w:b/>
        </w:rPr>
        <w:t>Paco Editorial</w:t>
      </w:r>
      <w:r w:rsidR="00DD57EF" w:rsidRPr="00C22912">
        <w:rPr>
          <w:rFonts w:cstheme="minorHAnsi"/>
          <w:b/>
        </w:rPr>
        <w:t>, 10/2018</w:t>
      </w:r>
    </w:p>
    <w:p w14:paraId="06233BE8" w14:textId="3EF61855" w:rsidR="00A64DC0" w:rsidRDefault="000C1D06"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sz w:val="16"/>
        </w:rPr>
      </w:pPr>
      <w:hyperlink r:id="rId63" w:history="1">
        <w:r w:rsidR="00A64DC0" w:rsidRPr="00054A8D">
          <w:rPr>
            <w:rStyle w:val="Hyperlink"/>
            <w:rFonts w:cstheme="minorHAnsi"/>
            <w:sz w:val="16"/>
          </w:rPr>
          <w:t>https://books.google.com.br/books/about/O_Ciclo_Total_de_Vida_das_Instala%C3%A7%C3%B5es.html?id=RI5xDwAAQBAJ&amp;redir_esc=y</w:t>
        </w:r>
      </w:hyperlink>
    </w:p>
    <w:p w14:paraId="6DEFAAB4" w14:textId="637711CC" w:rsidR="006A4A29" w:rsidRDefault="006A4A29"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25D959A" w14:textId="546CD0D9" w:rsidR="006A7498" w:rsidRPr="006A7498" w:rsidRDefault="006A7498"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b/>
        </w:rPr>
      </w:pPr>
      <w:r w:rsidRPr="006A7498">
        <w:rPr>
          <w:rFonts w:cstheme="minorHAnsi"/>
          <w:b/>
        </w:rPr>
        <w:t xml:space="preserve">Sistemas </w:t>
      </w:r>
      <w:r w:rsidR="008E7875">
        <w:rPr>
          <w:rFonts w:cstheme="minorHAnsi"/>
          <w:b/>
        </w:rPr>
        <w:t>de automação</w:t>
      </w:r>
      <w:r w:rsidRPr="006A7498">
        <w:rPr>
          <w:rFonts w:cstheme="minorHAnsi"/>
          <w:b/>
        </w:rPr>
        <w:t xml:space="preserve"> intrinsecamente seguros – Ex “i”: Do projeto à instalação</w:t>
      </w:r>
    </w:p>
    <w:p w14:paraId="4BAFD1DF" w14:textId="102BF91F" w:rsidR="006A7498" w:rsidRPr="000434B9" w:rsidRDefault="000C1D06"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sz w:val="16"/>
        </w:rPr>
      </w:pPr>
      <w:hyperlink r:id="rId64" w:history="1">
        <w:r w:rsidR="006A7498" w:rsidRPr="000434B9">
          <w:rPr>
            <w:rStyle w:val="Hyperlink"/>
            <w:rFonts w:cstheme="minorHAnsi"/>
            <w:sz w:val="16"/>
          </w:rPr>
          <w:t>https://drive.google.com/file/d/1WRoku5h0kwxKD2OyDtPogLJfXRslFJb2/view</w:t>
        </w:r>
      </w:hyperlink>
    </w:p>
    <w:p w14:paraId="72576D39" w14:textId="58A1E2A6" w:rsidR="006A7498" w:rsidRDefault="006A7498"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2221988A" w14:textId="77777777" w:rsidR="00742254" w:rsidRDefault="00742254"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p>
    <w:p w14:paraId="6392CFAB" w14:textId="77777777" w:rsidR="000C1D06" w:rsidRDefault="000C1D06" w:rsidP="00C96727">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rPr>
          <w:rFonts w:cstheme="minorHAnsi"/>
        </w:rPr>
      </w:pPr>
      <w:bookmarkStart w:id="6" w:name="_GoBack"/>
      <w:bookmarkEnd w:id="6"/>
    </w:p>
    <w:p w14:paraId="1E74B8D3" w14:textId="77777777" w:rsidR="006204DD" w:rsidRPr="00BC7EB9" w:rsidRDefault="00274A64" w:rsidP="00F5742E">
      <w:pPr>
        <w:pStyle w:val="PARAGRAPH"/>
        <w:spacing w:before="0" w:after="0"/>
        <w:jc w:val="left"/>
        <w:rPr>
          <w:rFonts w:cstheme="minorHAnsi"/>
          <w:b/>
          <w:smallCaps/>
          <w:color w:val="0070C0"/>
          <w:spacing w:val="0"/>
          <w:sz w:val="22"/>
          <w:szCs w:val="16"/>
          <w:lang w:val="pt-BR"/>
        </w:rPr>
      </w:pPr>
      <w:r w:rsidRPr="00BC7EB9">
        <w:rPr>
          <w:rFonts w:cstheme="minorHAnsi"/>
          <w:b/>
          <w:smallCaps/>
          <w:color w:val="0070C0"/>
          <w:spacing w:val="0"/>
          <w:sz w:val="22"/>
          <w:szCs w:val="16"/>
          <w:lang w:val="pt-BR"/>
        </w:rPr>
        <w:t>Roberval Bulgarelli</w:t>
      </w:r>
    </w:p>
    <w:p w14:paraId="481E69B4" w14:textId="77777777" w:rsidR="00A64DC0" w:rsidRDefault="00F5742E" w:rsidP="00F5742E">
      <w:pPr>
        <w:pStyle w:val="PARAGRAPH"/>
        <w:spacing w:before="0" w:after="0"/>
        <w:jc w:val="left"/>
        <w:rPr>
          <w:rFonts w:cstheme="minorHAnsi"/>
          <w:b/>
          <w:color w:val="0070C0"/>
          <w:spacing w:val="0"/>
          <w:sz w:val="16"/>
          <w:szCs w:val="16"/>
          <w:lang w:val="pt-BR"/>
        </w:rPr>
      </w:pPr>
      <w:r>
        <w:rPr>
          <w:rFonts w:cstheme="minorHAnsi"/>
          <w:b/>
          <w:color w:val="0070C0"/>
          <w:spacing w:val="0"/>
          <w:sz w:val="16"/>
          <w:szCs w:val="16"/>
          <w:lang w:val="pt-BR"/>
        </w:rPr>
        <w:t>PETROBRAS</w:t>
      </w:r>
    </w:p>
    <w:p w14:paraId="6C3B8101" w14:textId="3370712F" w:rsidR="00F5742E" w:rsidRPr="0088664A" w:rsidRDefault="00F5742E" w:rsidP="00F5742E">
      <w:pPr>
        <w:pStyle w:val="PARAGRAPH"/>
        <w:spacing w:before="0" w:after="0"/>
        <w:jc w:val="left"/>
        <w:rPr>
          <w:rFonts w:cstheme="minorHAnsi"/>
          <w:b/>
          <w:color w:val="0070C0"/>
          <w:spacing w:val="0"/>
          <w:sz w:val="16"/>
          <w:szCs w:val="16"/>
          <w:lang w:val="pt-BR"/>
        </w:rPr>
      </w:pPr>
      <w:r>
        <w:rPr>
          <w:rFonts w:cstheme="minorHAnsi"/>
          <w:b/>
          <w:color w:val="0070C0"/>
          <w:spacing w:val="0"/>
          <w:sz w:val="16"/>
          <w:szCs w:val="16"/>
          <w:lang w:val="pt-BR"/>
        </w:rPr>
        <w:t>Coordenador do Subcomitê SCB 003:031 (Atmosferas explosivas) da ABNT/CB-003 (Eletricidade)</w:t>
      </w:r>
    </w:p>
    <w:p w14:paraId="41D0E1FF" w14:textId="1302092E" w:rsidR="004D6370" w:rsidRPr="0088664A" w:rsidRDefault="00DA2FC6" w:rsidP="00F5742E">
      <w:pPr>
        <w:pStyle w:val="PARAGRAPH"/>
        <w:spacing w:before="0" w:after="0"/>
        <w:jc w:val="left"/>
        <w:rPr>
          <w:rFonts w:cstheme="minorHAnsi"/>
          <w:b/>
          <w:color w:val="0070C0"/>
          <w:spacing w:val="0"/>
          <w:sz w:val="16"/>
          <w:szCs w:val="16"/>
          <w:lang w:val="pt-BR"/>
        </w:rPr>
      </w:pPr>
      <w:r>
        <w:rPr>
          <w:rFonts w:cstheme="minorHAnsi"/>
          <w:b/>
          <w:color w:val="0070C0"/>
          <w:spacing w:val="0"/>
          <w:sz w:val="16"/>
          <w:szCs w:val="16"/>
          <w:lang w:val="pt-BR"/>
        </w:rPr>
        <w:t>11</w:t>
      </w:r>
      <w:r w:rsidR="00F5742E">
        <w:rPr>
          <w:rFonts w:cstheme="minorHAnsi"/>
          <w:b/>
          <w:color w:val="0070C0"/>
          <w:spacing w:val="0"/>
          <w:sz w:val="16"/>
          <w:szCs w:val="16"/>
          <w:lang w:val="pt-BR"/>
        </w:rPr>
        <w:t>/</w:t>
      </w:r>
      <w:r w:rsidR="008C4708" w:rsidRPr="0088664A">
        <w:rPr>
          <w:rFonts w:cstheme="minorHAnsi"/>
          <w:b/>
          <w:color w:val="0070C0"/>
          <w:spacing w:val="0"/>
          <w:sz w:val="16"/>
          <w:szCs w:val="16"/>
          <w:lang w:val="pt-BR"/>
        </w:rPr>
        <w:t>0</w:t>
      </w:r>
      <w:r w:rsidR="006204DD" w:rsidRPr="0088664A">
        <w:rPr>
          <w:rFonts w:cstheme="minorHAnsi"/>
          <w:b/>
          <w:color w:val="0070C0"/>
          <w:spacing w:val="0"/>
          <w:sz w:val="16"/>
          <w:szCs w:val="16"/>
          <w:lang w:val="pt-BR"/>
        </w:rPr>
        <w:t>3</w:t>
      </w:r>
      <w:r w:rsidR="00F5742E">
        <w:rPr>
          <w:rFonts w:cstheme="minorHAnsi"/>
          <w:b/>
          <w:color w:val="0070C0"/>
          <w:spacing w:val="0"/>
          <w:sz w:val="16"/>
          <w:szCs w:val="16"/>
          <w:lang w:val="pt-BR"/>
        </w:rPr>
        <w:t>/</w:t>
      </w:r>
      <w:r w:rsidR="004D6370" w:rsidRPr="0088664A">
        <w:rPr>
          <w:rFonts w:cstheme="minorHAnsi"/>
          <w:b/>
          <w:color w:val="0070C0"/>
          <w:spacing w:val="0"/>
          <w:sz w:val="16"/>
          <w:szCs w:val="16"/>
          <w:lang w:val="pt-BR"/>
        </w:rPr>
        <w:t>201</w:t>
      </w:r>
      <w:r w:rsidR="00EB4678" w:rsidRPr="0088664A">
        <w:rPr>
          <w:rFonts w:cstheme="minorHAnsi"/>
          <w:b/>
          <w:color w:val="0070C0"/>
          <w:spacing w:val="0"/>
          <w:sz w:val="16"/>
          <w:szCs w:val="16"/>
          <w:lang w:val="pt-BR"/>
        </w:rPr>
        <w:t>9</w:t>
      </w:r>
    </w:p>
    <w:sectPr w:rsidR="004D6370" w:rsidRPr="0088664A" w:rsidSect="00270CAE">
      <w:headerReference w:type="default" r:id="rId65"/>
      <w:footerReference w:type="default" r:id="rId66"/>
      <w:footnotePr>
        <w:pos w:val="beneathText"/>
      </w:footnotePr>
      <w:pgSz w:w="11906" w:h="16838" w:code="9"/>
      <w:pgMar w:top="1134" w:right="1134" w:bottom="851" w:left="1134" w:header="567" w:footer="567"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567F1" w14:textId="77777777" w:rsidR="00C667C9" w:rsidRDefault="00C667C9">
      <w:r>
        <w:separator/>
      </w:r>
    </w:p>
  </w:endnote>
  <w:endnote w:type="continuationSeparator" w:id="0">
    <w:p w14:paraId="7C48A40F" w14:textId="77777777" w:rsidR="00C667C9" w:rsidRDefault="00C66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arBats">
    <w:charset w:val="02"/>
    <w:family w:val="auto"/>
    <w:pitch w:val="variable"/>
  </w:font>
  <w:font w:name="Times">
    <w:panose1 w:val="02020603050405020304"/>
    <w:charset w:val="00"/>
    <w:family w:val="roman"/>
    <w:pitch w:val="variable"/>
    <w:sig w:usb0="E0002EFF" w:usb1="C000785B" w:usb2="00000009" w:usb3="00000000" w:csb0="000001FF" w:csb1="00000000"/>
  </w:font>
  <w:font w:name="HelmetCondensed">
    <w:altName w:val="Times New Roman"/>
    <w:charset w:val="00"/>
    <w:family w:val="auto"/>
    <w:pitch w:val="variable"/>
  </w:font>
  <w:font w:name="SansSerif">
    <w:panose1 w:val="00000400000000000000"/>
    <w:charset w:val="02"/>
    <w:family w:val="auto"/>
    <w:pitch w:val="variable"/>
    <w:sig w:usb0="00000000" w:usb1="10000000" w:usb2="00000000" w:usb3="00000000" w:csb0="80000000" w:csb1="00000000"/>
  </w:font>
  <w:font w:name="Futura2-Normal (Tur)">
    <w:altName w:val="Times New Roman"/>
    <w:charset w:val="00"/>
    <w:family w:val="auto"/>
    <w:pitch w:val="variable"/>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B2C8F" w14:textId="77777777" w:rsidR="009562EA" w:rsidRPr="004F5208" w:rsidRDefault="009562EA">
    <w:pPr>
      <w:pStyle w:val="Rodap"/>
      <w:jc w:val="right"/>
      <w:rPr>
        <w:rFonts w:cstheme="minorHAnsi"/>
        <w:color w:val="0070C0"/>
        <w:sz w:val="16"/>
        <w:szCs w:val="16"/>
      </w:rPr>
    </w:pPr>
    <w:r w:rsidRPr="004F5208">
      <w:rPr>
        <w:rFonts w:cstheme="minorHAnsi"/>
        <w:color w:val="0070C0"/>
        <w:sz w:val="16"/>
        <w:szCs w:val="16"/>
      </w:rPr>
      <w:t xml:space="preserve">Página </w:t>
    </w:r>
    <w:r w:rsidRPr="004F5208">
      <w:rPr>
        <w:rFonts w:cstheme="minorHAnsi"/>
        <w:b/>
        <w:bCs/>
        <w:color w:val="0070C0"/>
        <w:sz w:val="16"/>
        <w:szCs w:val="16"/>
      </w:rPr>
      <w:fldChar w:fldCharType="begin"/>
    </w:r>
    <w:r w:rsidRPr="004F5208">
      <w:rPr>
        <w:rFonts w:cstheme="minorHAnsi"/>
        <w:b/>
        <w:bCs/>
        <w:color w:val="0070C0"/>
        <w:sz w:val="16"/>
        <w:szCs w:val="16"/>
      </w:rPr>
      <w:instrText>PAGE</w:instrText>
    </w:r>
    <w:r w:rsidRPr="004F5208">
      <w:rPr>
        <w:rFonts w:cstheme="minorHAnsi"/>
        <w:b/>
        <w:bCs/>
        <w:color w:val="0070C0"/>
        <w:sz w:val="16"/>
        <w:szCs w:val="16"/>
      </w:rPr>
      <w:fldChar w:fldCharType="separate"/>
    </w:r>
    <w:r w:rsidR="000C1D06">
      <w:rPr>
        <w:rFonts w:cstheme="minorHAnsi"/>
        <w:b/>
        <w:bCs/>
        <w:noProof/>
        <w:color w:val="0070C0"/>
        <w:sz w:val="16"/>
        <w:szCs w:val="16"/>
      </w:rPr>
      <w:t>20</w:t>
    </w:r>
    <w:r w:rsidRPr="004F5208">
      <w:rPr>
        <w:rFonts w:cstheme="minorHAnsi"/>
        <w:b/>
        <w:bCs/>
        <w:color w:val="0070C0"/>
        <w:sz w:val="16"/>
        <w:szCs w:val="16"/>
      </w:rPr>
      <w:fldChar w:fldCharType="end"/>
    </w:r>
    <w:r w:rsidRPr="004F5208">
      <w:rPr>
        <w:rFonts w:cstheme="minorHAnsi"/>
        <w:color w:val="0070C0"/>
        <w:sz w:val="16"/>
        <w:szCs w:val="16"/>
      </w:rPr>
      <w:t xml:space="preserve"> de </w:t>
    </w:r>
    <w:r w:rsidRPr="004F5208">
      <w:rPr>
        <w:rFonts w:cstheme="minorHAnsi"/>
        <w:b/>
        <w:bCs/>
        <w:color w:val="0070C0"/>
        <w:sz w:val="16"/>
        <w:szCs w:val="16"/>
      </w:rPr>
      <w:fldChar w:fldCharType="begin"/>
    </w:r>
    <w:r w:rsidRPr="004F5208">
      <w:rPr>
        <w:rFonts w:cstheme="minorHAnsi"/>
        <w:b/>
        <w:bCs/>
        <w:color w:val="0070C0"/>
        <w:sz w:val="16"/>
        <w:szCs w:val="16"/>
      </w:rPr>
      <w:instrText>NUMPAGES</w:instrText>
    </w:r>
    <w:r w:rsidRPr="004F5208">
      <w:rPr>
        <w:rFonts w:cstheme="minorHAnsi"/>
        <w:b/>
        <w:bCs/>
        <w:color w:val="0070C0"/>
        <w:sz w:val="16"/>
        <w:szCs w:val="16"/>
      </w:rPr>
      <w:fldChar w:fldCharType="separate"/>
    </w:r>
    <w:r w:rsidR="000C1D06">
      <w:rPr>
        <w:rFonts w:cstheme="minorHAnsi"/>
        <w:b/>
        <w:bCs/>
        <w:noProof/>
        <w:color w:val="0070C0"/>
        <w:sz w:val="16"/>
        <w:szCs w:val="16"/>
      </w:rPr>
      <w:t>21</w:t>
    </w:r>
    <w:r w:rsidRPr="004F5208">
      <w:rPr>
        <w:rFonts w:cstheme="minorHAnsi"/>
        <w:b/>
        <w:bCs/>
        <w:color w:val="0070C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C3DCB" w14:textId="77777777" w:rsidR="00C667C9" w:rsidRDefault="00C667C9">
      <w:r>
        <w:separator/>
      </w:r>
    </w:p>
  </w:footnote>
  <w:footnote w:type="continuationSeparator" w:id="0">
    <w:p w14:paraId="0788F467" w14:textId="77777777" w:rsidR="00C667C9" w:rsidRDefault="00C667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F2723D" w14:paraId="35592C29" w14:textId="77777777" w:rsidTr="00F2723D">
      <w:tc>
        <w:tcPr>
          <w:tcW w:w="8926" w:type="dxa"/>
          <w:vAlign w:val="center"/>
        </w:tcPr>
        <w:p w14:paraId="500C93B5" w14:textId="6E470D6A" w:rsidR="00F2723D" w:rsidRDefault="00F2723D" w:rsidP="00F2723D">
          <w:pPr>
            <w:pStyle w:val="Cabealho"/>
            <w:jc w:val="left"/>
            <w:rPr>
              <w:rFonts w:cstheme="minorHAnsi"/>
              <w:color w:val="000099"/>
              <w:sz w:val="18"/>
              <w:szCs w:val="18"/>
            </w:rPr>
          </w:pPr>
          <w:r w:rsidRPr="00F2723D">
            <w:rPr>
              <w:rFonts w:cstheme="minorHAnsi"/>
              <w:color w:val="000099"/>
              <w:sz w:val="18"/>
              <w:szCs w:val="18"/>
            </w:rPr>
            <w:t xml:space="preserve">Sistemas </w:t>
          </w:r>
          <w:r w:rsidR="006A7498">
            <w:rPr>
              <w:rFonts w:cstheme="minorHAnsi"/>
              <w:color w:val="000099"/>
              <w:sz w:val="18"/>
              <w:szCs w:val="18"/>
            </w:rPr>
            <w:t xml:space="preserve">de automação </w:t>
          </w:r>
          <w:r w:rsidRPr="00F2723D">
            <w:rPr>
              <w:rFonts w:cstheme="minorHAnsi"/>
              <w:color w:val="000099"/>
              <w:sz w:val="18"/>
              <w:szCs w:val="18"/>
            </w:rPr>
            <w:t xml:space="preserve">intrinsecamente seguros – Ex “i”: Do projeto à </w:t>
          </w:r>
          <w:r w:rsidR="0055592A">
            <w:rPr>
              <w:rFonts w:cstheme="minorHAnsi"/>
              <w:color w:val="000099"/>
              <w:sz w:val="18"/>
              <w:szCs w:val="18"/>
            </w:rPr>
            <w:t>instalação</w:t>
          </w:r>
        </w:p>
      </w:tc>
      <w:tc>
        <w:tcPr>
          <w:tcW w:w="702" w:type="dxa"/>
          <w:vAlign w:val="center"/>
        </w:tcPr>
        <w:p w14:paraId="0D8B556F" w14:textId="6B44B5B3" w:rsidR="00F2723D" w:rsidRDefault="00F2723D" w:rsidP="00F2723D">
          <w:pPr>
            <w:pStyle w:val="Cabealho"/>
            <w:jc w:val="center"/>
            <w:rPr>
              <w:rFonts w:cstheme="minorHAnsi"/>
              <w:color w:val="000099"/>
              <w:sz w:val="18"/>
              <w:szCs w:val="18"/>
            </w:rPr>
          </w:pPr>
          <w:r>
            <w:rPr>
              <w:noProof/>
            </w:rPr>
            <w:drawing>
              <wp:inline distT="0" distB="0" distL="0" distR="0" wp14:anchorId="51D25978" wp14:editId="737790C3">
                <wp:extent cx="283845" cy="349885"/>
                <wp:effectExtent l="0" t="0" r="190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 cy="349885"/>
                        </a:xfrm>
                        <a:prstGeom prst="rect">
                          <a:avLst/>
                        </a:prstGeom>
                        <a:noFill/>
                        <a:ln>
                          <a:noFill/>
                        </a:ln>
                      </pic:spPr>
                    </pic:pic>
                  </a:graphicData>
                </a:graphic>
              </wp:inline>
            </w:drawing>
          </w:r>
        </w:p>
      </w:tc>
    </w:tr>
  </w:tbl>
  <w:p w14:paraId="38FFFA82" w14:textId="77777777" w:rsidR="00F2723D" w:rsidRDefault="00F2723D" w:rsidP="00F272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7A1ADEC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142"/>
        </w:tabs>
        <w:ind w:left="14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10"/>
        </w:tabs>
        <w:ind w:left="71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11F360B"/>
    <w:multiLevelType w:val="hybridMultilevel"/>
    <w:tmpl w:val="29DC2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DB33E7B"/>
    <w:multiLevelType w:val="hybridMultilevel"/>
    <w:tmpl w:val="48EACE6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0E3D5E2B"/>
    <w:multiLevelType w:val="hybridMultilevel"/>
    <w:tmpl w:val="B36CA7B8"/>
    <w:lvl w:ilvl="0" w:tplc="03008168">
      <w:numFmt w:val="bullet"/>
      <w:lvlText w:val="•"/>
      <w:lvlJc w:val="left"/>
      <w:pPr>
        <w:ind w:left="705" w:hanging="705"/>
      </w:pPr>
      <w:rPr>
        <w:rFonts w:ascii="Times New Roman" w:eastAsia="Times New Roman" w:hAnsi="Times New Roman" w:cs="Times New Roman"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135606E"/>
    <w:multiLevelType w:val="hybridMultilevel"/>
    <w:tmpl w:val="73BC95A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11715ED4"/>
    <w:multiLevelType w:val="hybridMultilevel"/>
    <w:tmpl w:val="2CA88EAE"/>
    <w:lvl w:ilvl="0" w:tplc="72F21D08">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7FD5692"/>
    <w:multiLevelType w:val="hybridMultilevel"/>
    <w:tmpl w:val="B950BA3E"/>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C6B2F78"/>
    <w:multiLevelType w:val="hybridMultilevel"/>
    <w:tmpl w:val="8DC41808"/>
    <w:lvl w:ilvl="0" w:tplc="04090011">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2D2B0A6C"/>
    <w:multiLevelType w:val="hybridMultilevel"/>
    <w:tmpl w:val="F6EAFC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0323426"/>
    <w:multiLevelType w:val="hybridMultilevel"/>
    <w:tmpl w:val="B426963A"/>
    <w:lvl w:ilvl="0" w:tplc="4C664EC2">
      <w:start w:val="1"/>
      <w:numFmt w:val="bullet"/>
      <w:lvlText w:val="-"/>
      <w:lvlJc w:val="left"/>
      <w:pPr>
        <w:tabs>
          <w:tab w:val="num" w:pos="360"/>
        </w:tabs>
        <w:ind w:left="360" w:hanging="360"/>
      </w:pPr>
      <w:rPr>
        <w:rFonts w:ascii="Courier New" w:hAnsi="Courier New" w:hint="default"/>
      </w:rPr>
    </w:lvl>
    <w:lvl w:ilvl="1" w:tplc="04160003" w:tentative="1">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1080"/>
        </w:tabs>
        <w:ind w:left="1080" w:hanging="360"/>
      </w:pPr>
      <w:rPr>
        <w:rFonts w:ascii="Wingdings" w:hAnsi="Wingdings" w:hint="default"/>
      </w:rPr>
    </w:lvl>
    <w:lvl w:ilvl="3" w:tplc="04160001" w:tentative="1">
      <w:start w:val="1"/>
      <w:numFmt w:val="bullet"/>
      <w:lvlText w:val=""/>
      <w:lvlJc w:val="left"/>
      <w:pPr>
        <w:tabs>
          <w:tab w:val="num" w:pos="1800"/>
        </w:tabs>
        <w:ind w:left="1800" w:hanging="360"/>
      </w:pPr>
      <w:rPr>
        <w:rFonts w:ascii="Symbol" w:hAnsi="Symbol" w:hint="default"/>
      </w:rPr>
    </w:lvl>
    <w:lvl w:ilvl="4" w:tplc="04160003" w:tentative="1">
      <w:start w:val="1"/>
      <w:numFmt w:val="bullet"/>
      <w:lvlText w:val="o"/>
      <w:lvlJc w:val="left"/>
      <w:pPr>
        <w:tabs>
          <w:tab w:val="num" w:pos="2520"/>
        </w:tabs>
        <w:ind w:left="2520" w:hanging="360"/>
      </w:pPr>
      <w:rPr>
        <w:rFonts w:ascii="Courier New" w:hAnsi="Courier New" w:cs="Courier New" w:hint="default"/>
      </w:rPr>
    </w:lvl>
    <w:lvl w:ilvl="5" w:tplc="04160005" w:tentative="1">
      <w:start w:val="1"/>
      <w:numFmt w:val="bullet"/>
      <w:lvlText w:val=""/>
      <w:lvlJc w:val="left"/>
      <w:pPr>
        <w:tabs>
          <w:tab w:val="num" w:pos="3240"/>
        </w:tabs>
        <w:ind w:left="3240" w:hanging="360"/>
      </w:pPr>
      <w:rPr>
        <w:rFonts w:ascii="Wingdings" w:hAnsi="Wingdings" w:hint="default"/>
      </w:rPr>
    </w:lvl>
    <w:lvl w:ilvl="6" w:tplc="04160001" w:tentative="1">
      <w:start w:val="1"/>
      <w:numFmt w:val="bullet"/>
      <w:lvlText w:val=""/>
      <w:lvlJc w:val="left"/>
      <w:pPr>
        <w:tabs>
          <w:tab w:val="num" w:pos="3960"/>
        </w:tabs>
        <w:ind w:left="3960" w:hanging="360"/>
      </w:pPr>
      <w:rPr>
        <w:rFonts w:ascii="Symbol" w:hAnsi="Symbol" w:hint="default"/>
      </w:rPr>
    </w:lvl>
    <w:lvl w:ilvl="7" w:tplc="04160003" w:tentative="1">
      <w:start w:val="1"/>
      <w:numFmt w:val="bullet"/>
      <w:lvlText w:val="o"/>
      <w:lvlJc w:val="left"/>
      <w:pPr>
        <w:tabs>
          <w:tab w:val="num" w:pos="4680"/>
        </w:tabs>
        <w:ind w:left="4680" w:hanging="360"/>
      </w:pPr>
      <w:rPr>
        <w:rFonts w:ascii="Courier New" w:hAnsi="Courier New" w:cs="Courier New" w:hint="default"/>
      </w:rPr>
    </w:lvl>
    <w:lvl w:ilvl="8" w:tplc="0416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3480542F"/>
    <w:multiLevelType w:val="hybridMultilevel"/>
    <w:tmpl w:val="A60451B4"/>
    <w:lvl w:ilvl="0" w:tplc="03008168">
      <w:numFmt w:val="bullet"/>
      <w:lvlText w:val="•"/>
      <w:lvlJc w:val="left"/>
      <w:pPr>
        <w:ind w:left="705" w:hanging="705"/>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4F27648"/>
    <w:multiLevelType w:val="hybridMultilevel"/>
    <w:tmpl w:val="0414C6F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82812EF"/>
    <w:multiLevelType w:val="hybridMultilevel"/>
    <w:tmpl w:val="31EC8622"/>
    <w:lvl w:ilvl="0" w:tplc="04090011">
      <w:start w:val="1"/>
      <w:numFmt w:val="decimal"/>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39C9058E"/>
    <w:multiLevelType w:val="hybridMultilevel"/>
    <w:tmpl w:val="9CB0BB6A"/>
    <w:lvl w:ilvl="0" w:tplc="03008168">
      <w:numFmt w:val="bullet"/>
      <w:lvlText w:val="•"/>
      <w:lvlJc w:val="left"/>
      <w:pPr>
        <w:ind w:left="705" w:hanging="705"/>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5A64004"/>
    <w:multiLevelType w:val="multilevel"/>
    <w:tmpl w:val="4918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542C69"/>
    <w:multiLevelType w:val="hybridMultilevel"/>
    <w:tmpl w:val="DBD63998"/>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3650A8C"/>
    <w:multiLevelType w:val="hybridMultilevel"/>
    <w:tmpl w:val="BE9AA8E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549C2D2C"/>
    <w:multiLevelType w:val="hybridMultilevel"/>
    <w:tmpl w:val="41DA989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E56927"/>
    <w:multiLevelType w:val="hybridMultilevel"/>
    <w:tmpl w:val="7F3CAB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E9B3400"/>
    <w:multiLevelType w:val="hybridMultilevel"/>
    <w:tmpl w:val="369C8422"/>
    <w:lvl w:ilvl="0" w:tplc="6A4666A2">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02F4250"/>
    <w:multiLevelType w:val="hybridMultilevel"/>
    <w:tmpl w:val="853E34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90A7554"/>
    <w:multiLevelType w:val="hybridMultilevel"/>
    <w:tmpl w:val="F02EA25C"/>
    <w:lvl w:ilvl="0" w:tplc="0D583426">
      <w:start w:val="1"/>
      <w:numFmt w:val="bullet"/>
      <w:lvlText w:val="-"/>
      <w:lvlJc w:val="left"/>
      <w:pPr>
        <w:tabs>
          <w:tab w:val="num" w:pos="360"/>
        </w:tabs>
        <w:ind w:left="360" w:hanging="360"/>
      </w:pPr>
      <w:rPr>
        <w:rFonts w:ascii="Courier New" w:hAnsi="Courier New"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15:restartNumberingAfterBreak="0">
    <w:nsid w:val="69330696"/>
    <w:multiLevelType w:val="hybridMultilevel"/>
    <w:tmpl w:val="728A7B8E"/>
    <w:lvl w:ilvl="0" w:tplc="03008168">
      <w:numFmt w:val="bullet"/>
      <w:lvlText w:val="•"/>
      <w:lvlJc w:val="left"/>
      <w:pPr>
        <w:ind w:left="705" w:hanging="705"/>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BF13C92"/>
    <w:multiLevelType w:val="hybridMultilevel"/>
    <w:tmpl w:val="DA2A1D28"/>
    <w:lvl w:ilvl="0" w:tplc="0409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348695F"/>
    <w:multiLevelType w:val="hybridMultilevel"/>
    <w:tmpl w:val="849CC1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3D86889"/>
    <w:multiLevelType w:val="hybridMultilevel"/>
    <w:tmpl w:val="E3723FB2"/>
    <w:lvl w:ilvl="0" w:tplc="03008168">
      <w:numFmt w:val="bullet"/>
      <w:lvlText w:val="•"/>
      <w:lvlJc w:val="left"/>
      <w:pPr>
        <w:ind w:left="1065" w:hanging="705"/>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C551B15"/>
    <w:multiLevelType w:val="multilevel"/>
    <w:tmpl w:val="1DC8FEB4"/>
    <w:lvl w:ilvl="0">
      <w:start w:val="1"/>
      <w:numFmt w:val="decimal"/>
      <w:pStyle w:val="Tabela-Ttulocomnumerao"/>
      <w:lvlText w:val="Tabela %1 —"/>
      <w:lvlJc w:val="center"/>
      <w:pPr>
        <w:tabs>
          <w:tab w:val="num" w:pos="0"/>
        </w:tabs>
        <w:ind w:left="0" w:firstLine="72"/>
      </w:pPr>
      <w:rPr>
        <w:rFonts w:ascii="Arial" w:hAnsi="Arial" w:hint="default"/>
        <w:b/>
        <w:i w:val="0"/>
        <w:sz w:val="22"/>
        <w:szCs w:val="22"/>
      </w:rPr>
    </w:lvl>
    <w:lvl w:ilvl="1">
      <w:start w:val="1"/>
      <w:numFmt w:val="bullet"/>
      <w:lvlText w:val=""/>
      <w:lvlJc w:val="left"/>
      <w:pPr>
        <w:tabs>
          <w:tab w:val="num" w:pos="-1826"/>
        </w:tabs>
        <w:ind w:left="-854" w:hanging="572"/>
      </w:pPr>
      <w:rPr>
        <w:rFonts w:ascii="Symbol" w:hAnsi="Symbol" w:hint="default"/>
      </w:rPr>
    </w:lvl>
    <w:lvl w:ilvl="2">
      <w:start w:val="1"/>
      <w:numFmt w:val="bullet"/>
      <w:lvlText w:val=""/>
      <w:lvlJc w:val="left"/>
      <w:pPr>
        <w:tabs>
          <w:tab w:val="num" w:pos="-1826"/>
        </w:tabs>
        <w:ind w:left="-626" w:hanging="400"/>
      </w:pPr>
      <w:rPr>
        <w:rFonts w:ascii="Symbol" w:hAnsi="Symbol" w:hint="default"/>
      </w:rPr>
    </w:lvl>
    <w:lvl w:ilvl="3">
      <w:start w:val="1"/>
      <w:numFmt w:val="bullet"/>
      <w:lvlText w:val=""/>
      <w:lvlJc w:val="left"/>
      <w:pPr>
        <w:tabs>
          <w:tab w:val="num" w:pos="-1826"/>
        </w:tabs>
        <w:ind w:left="-226" w:hanging="400"/>
      </w:pPr>
      <w:rPr>
        <w:rFonts w:ascii="Symbol" w:hAnsi="Symbol" w:hint="default"/>
      </w:rPr>
    </w:lvl>
    <w:lvl w:ilvl="4">
      <w:start w:val="1"/>
      <w:numFmt w:val="none"/>
      <w:suff w:val="nothing"/>
      <w:lvlText w:val=""/>
      <w:lvlJc w:val="left"/>
      <w:pPr>
        <w:ind w:left="-1826" w:firstLine="0"/>
      </w:pPr>
      <w:rPr>
        <w:rFonts w:hint="default"/>
      </w:rPr>
    </w:lvl>
    <w:lvl w:ilvl="5">
      <w:start w:val="1"/>
      <w:numFmt w:val="none"/>
      <w:suff w:val="nothing"/>
      <w:lvlText w:val=""/>
      <w:lvlJc w:val="left"/>
      <w:pPr>
        <w:ind w:left="-1826" w:firstLine="0"/>
      </w:pPr>
      <w:rPr>
        <w:rFonts w:hint="default"/>
      </w:rPr>
    </w:lvl>
    <w:lvl w:ilvl="6">
      <w:start w:val="1"/>
      <w:numFmt w:val="none"/>
      <w:suff w:val="nothing"/>
      <w:lvlText w:val=""/>
      <w:lvlJc w:val="left"/>
      <w:pPr>
        <w:ind w:left="-1826" w:firstLine="0"/>
      </w:pPr>
      <w:rPr>
        <w:rFonts w:hint="default"/>
      </w:rPr>
    </w:lvl>
    <w:lvl w:ilvl="7">
      <w:start w:val="1"/>
      <w:numFmt w:val="none"/>
      <w:suff w:val="nothing"/>
      <w:lvlText w:val=""/>
      <w:lvlJc w:val="left"/>
      <w:pPr>
        <w:ind w:left="-1826" w:firstLine="0"/>
      </w:pPr>
      <w:rPr>
        <w:rFonts w:hint="default"/>
      </w:rPr>
    </w:lvl>
    <w:lvl w:ilvl="8">
      <w:start w:val="1"/>
      <w:numFmt w:val="none"/>
      <w:suff w:val="nothing"/>
      <w:lvlText w:val=""/>
      <w:lvlJc w:val="left"/>
      <w:pPr>
        <w:ind w:left="-1826" w:firstLine="0"/>
      </w:pPr>
      <w:rPr>
        <w:rFonts w:hint="default"/>
      </w:rPr>
    </w:lvl>
  </w:abstractNum>
  <w:num w:numId="1">
    <w:abstractNumId w:val="1"/>
  </w:num>
  <w:num w:numId="2">
    <w:abstractNumId w:val="8"/>
  </w:num>
  <w:num w:numId="3">
    <w:abstractNumId w:val="27"/>
  </w:num>
  <w:num w:numId="4">
    <w:abstractNumId w:val="21"/>
  </w:num>
  <w:num w:numId="5">
    <w:abstractNumId w:val="26"/>
  </w:num>
  <w:num w:numId="6">
    <w:abstractNumId w:val="4"/>
  </w:num>
  <w:num w:numId="7">
    <w:abstractNumId w:val="24"/>
  </w:num>
  <w:num w:numId="8">
    <w:abstractNumId w:val="14"/>
  </w:num>
  <w:num w:numId="9">
    <w:abstractNumId w:val="23"/>
  </w:num>
  <w:num w:numId="10">
    <w:abstractNumId w:val="11"/>
  </w:num>
  <w:num w:numId="11">
    <w:abstractNumId w:val="15"/>
  </w:num>
  <w:num w:numId="12">
    <w:abstractNumId w:val="6"/>
  </w:num>
  <w:num w:numId="13">
    <w:abstractNumId w:val="13"/>
  </w:num>
  <w:num w:numId="14">
    <w:abstractNumId w:val="17"/>
  </w:num>
  <w:num w:numId="15">
    <w:abstractNumId w:val="5"/>
  </w:num>
  <w:num w:numId="16">
    <w:abstractNumId w:val="10"/>
  </w:num>
  <w:num w:numId="17">
    <w:abstractNumId w:val="20"/>
  </w:num>
  <w:num w:numId="18">
    <w:abstractNumId w:val="22"/>
  </w:num>
  <w:num w:numId="19">
    <w:abstractNumId w:val="16"/>
  </w:num>
  <w:num w:numId="20">
    <w:abstractNumId w:val="7"/>
  </w:num>
  <w:num w:numId="21">
    <w:abstractNumId w:val="0"/>
  </w:num>
  <w:num w:numId="22">
    <w:abstractNumId w:val="12"/>
  </w:num>
  <w:num w:numId="23">
    <w:abstractNumId w:val="18"/>
  </w:num>
  <w:num w:numId="24">
    <w:abstractNumId w:val="25"/>
  </w:num>
  <w:num w:numId="25">
    <w:abstractNumId w:val="2"/>
  </w:num>
  <w:num w:numId="26">
    <w:abstractNumId w:val="3"/>
  </w:num>
  <w:num w:numId="27">
    <w:abstractNumId w:val="9"/>
  </w:num>
  <w:num w:numId="2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fillcolor="#002060" strokecolor="#4f81bd">
      <v:fill color="#002060"/>
      <v:stroke color="#4f81bd" weight="2pt"/>
      <v:shadow on="t" color="#243f60" opacity=".5" offset="6pt,6pt"/>
    </o:shapedefaults>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2FD"/>
    <w:rsid w:val="00002038"/>
    <w:rsid w:val="00002A6C"/>
    <w:rsid w:val="000045A3"/>
    <w:rsid w:val="0001178C"/>
    <w:rsid w:val="000121A5"/>
    <w:rsid w:val="00023174"/>
    <w:rsid w:val="00032BCA"/>
    <w:rsid w:val="000363D3"/>
    <w:rsid w:val="00036FD3"/>
    <w:rsid w:val="0004305F"/>
    <w:rsid w:val="000434A8"/>
    <w:rsid w:val="000434B9"/>
    <w:rsid w:val="00045497"/>
    <w:rsid w:val="000476EB"/>
    <w:rsid w:val="0005303F"/>
    <w:rsid w:val="00055E29"/>
    <w:rsid w:val="000561D3"/>
    <w:rsid w:val="000612E8"/>
    <w:rsid w:val="000619E1"/>
    <w:rsid w:val="000623DA"/>
    <w:rsid w:val="00073EBC"/>
    <w:rsid w:val="0007796A"/>
    <w:rsid w:val="00077E65"/>
    <w:rsid w:val="000811AC"/>
    <w:rsid w:val="000A558A"/>
    <w:rsid w:val="000B1162"/>
    <w:rsid w:val="000B1D1B"/>
    <w:rsid w:val="000B4815"/>
    <w:rsid w:val="000B6DD8"/>
    <w:rsid w:val="000C1D06"/>
    <w:rsid w:val="000C591A"/>
    <w:rsid w:val="000D20C4"/>
    <w:rsid w:val="000D75CF"/>
    <w:rsid w:val="000E0AAE"/>
    <w:rsid w:val="000E225C"/>
    <w:rsid w:val="000E46C8"/>
    <w:rsid w:val="000E57CA"/>
    <w:rsid w:val="000F27B5"/>
    <w:rsid w:val="0010770F"/>
    <w:rsid w:val="001125EF"/>
    <w:rsid w:val="00113642"/>
    <w:rsid w:val="001138F7"/>
    <w:rsid w:val="001244F3"/>
    <w:rsid w:val="00130B2A"/>
    <w:rsid w:val="00136A20"/>
    <w:rsid w:val="00142474"/>
    <w:rsid w:val="001426D3"/>
    <w:rsid w:val="00142E72"/>
    <w:rsid w:val="001518CD"/>
    <w:rsid w:val="00153D0F"/>
    <w:rsid w:val="00154862"/>
    <w:rsid w:val="001604AE"/>
    <w:rsid w:val="0016577C"/>
    <w:rsid w:val="00170688"/>
    <w:rsid w:val="001739BF"/>
    <w:rsid w:val="00174E8F"/>
    <w:rsid w:val="00176318"/>
    <w:rsid w:val="00184DFC"/>
    <w:rsid w:val="0018591F"/>
    <w:rsid w:val="001936DD"/>
    <w:rsid w:val="00197ACE"/>
    <w:rsid w:val="001A050B"/>
    <w:rsid w:val="001A5751"/>
    <w:rsid w:val="001B1BAB"/>
    <w:rsid w:val="001B1E06"/>
    <w:rsid w:val="001B64CF"/>
    <w:rsid w:val="001C34FA"/>
    <w:rsid w:val="001C565C"/>
    <w:rsid w:val="001C584B"/>
    <w:rsid w:val="001D2CCB"/>
    <w:rsid w:val="001D33CF"/>
    <w:rsid w:val="001D3E59"/>
    <w:rsid w:val="001E6030"/>
    <w:rsid w:val="001F12D1"/>
    <w:rsid w:val="001F1C34"/>
    <w:rsid w:val="00202A13"/>
    <w:rsid w:val="0020397D"/>
    <w:rsid w:val="002108F1"/>
    <w:rsid w:val="0021275F"/>
    <w:rsid w:val="00220BD6"/>
    <w:rsid w:val="0022440E"/>
    <w:rsid w:val="00225109"/>
    <w:rsid w:val="002253D1"/>
    <w:rsid w:val="00236468"/>
    <w:rsid w:val="00241236"/>
    <w:rsid w:val="00241D58"/>
    <w:rsid w:val="0024437F"/>
    <w:rsid w:val="00260EC7"/>
    <w:rsid w:val="00263D39"/>
    <w:rsid w:val="00265646"/>
    <w:rsid w:val="00267A59"/>
    <w:rsid w:val="00270CAE"/>
    <w:rsid w:val="00274A64"/>
    <w:rsid w:val="0027503A"/>
    <w:rsid w:val="002804B8"/>
    <w:rsid w:val="002821BD"/>
    <w:rsid w:val="00283745"/>
    <w:rsid w:val="00287248"/>
    <w:rsid w:val="00291E28"/>
    <w:rsid w:val="00293608"/>
    <w:rsid w:val="00297754"/>
    <w:rsid w:val="002A6BA4"/>
    <w:rsid w:val="002B2E35"/>
    <w:rsid w:val="002C3D6F"/>
    <w:rsid w:val="002D4383"/>
    <w:rsid w:val="002D6886"/>
    <w:rsid w:val="002D715D"/>
    <w:rsid w:val="002E1BBD"/>
    <w:rsid w:val="002E3790"/>
    <w:rsid w:val="002E4695"/>
    <w:rsid w:val="002F1DE9"/>
    <w:rsid w:val="0031777A"/>
    <w:rsid w:val="00326C5A"/>
    <w:rsid w:val="003360D1"/>
    <w:rsid w:val="00351044"/>
    <w:rsid w:val="00352D30"/>
    <w:rsid w:val="00357874"/>
    <w:rsid w:val="00370D7A"/>
    <w:rsid w:val="00374EB9"/>
    <w:rsid w:val="00375181"/>
    <w:rsid w:val="00381BA8"/>
    <w:rsid w:val="00382983"/>
    <w:rsid w:val="00383214"/>
    <w:rsid w:val="00391368"/>
    <w:rsid w:val="003949E2"/>
    <w:rsid w:val="003A2ABE"/>
    <w:rsid w:val="003A2C9D"/>
    <w:rsid w:val="003A4766"/>
    <w:rsid w:val="003A5B74"/>
    <w:rsid w:val="003B012C"/>
    <w:rsid w:val="003B0612"/>
    <w:rsid w:val="003B27B2"/>
    <w:rsid w:val="003D34E3"/>
    <w:rsid w:val="003D3A97"/>
    <w:rsid w:val="003D5568"/>
    <w:rsid w:val="003D75FF"/>
    <w:rsid w:val="003D76D2"/>
    <w:rsid w:val="003D7FEE"/>
    <w:rsid w:val="003E2714"/>
    <w:rsid w:val="00407F69"/>
    <w:rsid w:val="00433C19"/>
    <w:rsid w:val="00435BD1"/>
    <w:rsid w:val="0043644F"/>
    <w:rsid w:val="00442935"/>
    <w:rsid w:val="00445BE0"/>
    <w:rsid w:val="00450871"/>
    <w:rsid w:val="00451474"/>
    <w:rsid w:val="00453FE5"/>
    <w:rsid w:val="004558E9"/>
    <w:rsid w:val="00456FAB"/>
    <w:rsid w:val="00462B33"/>
    <w:rsid w:val="00463AB6"/>
    <w:rsid w:val="004717A5"/>
    <w:rsid w:val="004737BD"/>
    <w:rsid w:val="00474A8D"/>
    <w:rsid w:val="0049465E"/>
    <w:rsid w:val="004964A3"/>
    <w:rsid w:val="004A303A"/>
    <w:rsid w:val="004A6C1F"/>
    <w:rsid w:val="004C50C0"/>
    <w:rsid w:val="004C7A09"/>
    <w:rsid w:val="004D5D27"/>
    <w:rsid w:val="004D6370"/>
    <w:rsid w:val="004D6DEF"/>
    <w:rsid w:val="004E0A56"/>
    <w:rsid w:val="004E359C"/>
    <w:rsid w:val="004E6427"/>
    <w:rsid w:val="004E6A2A"/>
    <w:rsid w:val="004F10E4"/>
    <w:rsid w:val="004F2120"/>
    <w:rsid w:val="004F5208"/>
    <w:rsid w:val="004F606C"/>
    <w:rsid w:val="00503C82"/>
    <w:rsid w:val="005059C6"/>
    <w:rsid w:val="00507FF8"/>
    <w:rsid w:val="00514D76"/>
    <w:rsid w:val="0051515B"/>
    <w:rsid w:val="00520530"/>
    <w:rsid w:val="00526877"/>
    <w:rsid w:val="00526F8B"/>
    <w:rsid w:val="005326A2"/>
    <w:rsid w:val="00533B0A"/>
    <w:rsid w:val="00536940"/>
    <w:rsid w:val="005407E5"/>
    <w:rsid w:val="00540E3A"/>
    <w:rsid w:val="00541B3D"/>
    <w:rsid w:val="00544A4D"/>
    <w:rsid w:val="00546CF8"/>
    <w:rsid w:val="0055592A"/>
    <w:rsid w:val="00557800"/>
    <w:rsid w:val="0059145E"/>
    <w:rsid w:val="00592E92"/>
    <w:rsid w:val="00595D43"/>
    <w:rsid w:val="005A0E00"/>
    <w:rsid w:val="005B0DD3"/>
    <w:rsid w:val="005B1A65"/>
    <w:rsid w:val="005B7103"/>
    <w:rsid w:val="005C0934"/>
    <w:rsid w:val="005C2524"/>
    <w:rsid w:val="005C472A"/>
    <w:rsid w:val="005C591B"/>
    <w:rsid w:val="005E00F4"/>
    <w:rsid w:val="005E7186"/>
    <w:rsid w:val="005F270C"/>
    <w:rsid w:val="005F59B2"/>
    <w:rsid w:val="005F7E78"/>
    <w:rsid w:val="006029A4"/>
    <w:rsid w:val="00603061"/>
    <w:rsid w:val="00605D49"/>
    <w:rsid w:val="00605DD5"/>
    <w:rsid w:val="00606F5E"/>
    <w:rsid w:val="00612E06"/>
    <w:rsid w:val="006204DD"/>
    <w:rsid w:val="00630986"/>
    <w:rsid w:val="0063179C"/>
    <w:rsid w:val="00631E8F"/>
    <w:rsid w:val="00634ADD"/>
    <w:rsid w:val="00636235"/>
    <w:rsid w:val="00637F35"/>
    <w:rsid w:val="00666841"/>
    <w:rsid w:val="00671403"/>
    <w:rsid w:val="006768CC"/>
    <w:rsid w:val="00680FE3"/>
    <w:rsid w:val="0069088C"/>
    <w:rsid w:val="00691EC3"/>
    <w:rsid w:val="00694645"/>
    <w:rsid w:val="006949E7"/>
    <w:rsid w:val="006971DA"/>
    <w:rsid w:val="006A0FC7"/>
    <w:rsid w:val="006A4A29"/>
    <w:rsid w:val="006A6903"/>
    <w:rsid w:val="006A7498"/>
    <w:rsid w:val="006B1A09"/>
    <w:rsid w:val="006B665C"/>
    <w:rsid w:val="006B6E33"/>
    <w:rsid w:val="006B75AC"/>
    <w:rsid w:val="006C0F18"/>
    <w:rsid w:val="006C2CE3"/>
    <w:rsid w:val="006D0FD2"/>
    <w:rsid w:val="006E0000"/>
    <w:rsid w:val="006E2BBF"/>
    <w:rsid w:val="00705C9F"/>
    <w:rsid w:val="007102A5"/>
    <w:rsid w:val="007107EC"/>
    <w:rsid w:val="00711B78"/>
    <w:rsid w:val="00724AAC"/>
    <w:rsid w:val="007355F4"/>
    <w:rsid w:val="007357BD"/>
    <w:rsid w:val="007358DF"/>
    <w:rsid w:val="00742254"/>
    <w:rsid w:val="00745F3B"/>
    <w:rsid w:val="00746EFC"/>
    <w:rsid w:val="00755E12"/>
    <w:rsid w:val="0075630B"/>
    <w:rsid w:val="00761B35"/>
    <w:rsid w:val="007705DB"/>
    <w:rsid w:val="00771896"/>
    <w:rsid w:val="007763D7"/>
    <w:rsid w:val="007765CA"/>
    <w:rsid w:val="007810AD"/>
    <w:rsid w:val="007834E2"/>
    <w:rsid w:val="00784BF7"/>
    <w:rsid w:val="00790C70"/>
    <w:rsid w:val="00793816"/>
    <w:rsid w:val="007A0055"/>
    <w:rsid w:val="007A0FDC"/>
    <w:rsid w:val="007A4A29"/>
    <w:rsid w:val="007B18C6"/>
    <w:rsid w:val="007C3138"/>
    <w:rsid w:val="007C744D"/>
    <w:rsid w:val="007D461E"/>
    <w:rsid w:val="007D55EF"/>
    <w:rsid w:val="007E1FE9"/>
    <w:rsid w:val="007E27A2"/>
    <w:rsid w:val="007E4466"/>
    <w:rsid w:val="007E6579"/>
    <w:rsid w:val="007F032D"/>
    <w:rsid w:val="007F1034"/>
    <w:rsid w:val="008005D1"/>
    <w:rsid w:val="0080623B"/>
    <w:rsid w:val="0081182F"/>
    <w:rsid w:val="00813EDC"/>
    <w:rsid w:val="008205EB"/>
    <w:rsid w:val="00822559"/>
    <w:rsid w:val="0082738F"/>
    <w:rsid w:val="00834715"/>
    <w:rsid w:val="008375AB"/>
    <w:rsid w:val="00850133"/>
    <w:rsid w:val="008567EE"/>
    <w:rsid w:val="00867B7C"/>
    <w:rsid w:val="00872691"/>
    <w:rsid w:val="008734FB"/>
    <w:rsid w:val="008750CB"/>
    <w:rsid w:val="00875DC5"/>
    <w:rsid w:val="00880FA2"/>
    <w:rsid w:val="00881062"/>
    <w:rsid w:val="0088664A"/>
    <w:rsid w:val="008B5E64"/>
    <w:rsid w:val="008B68AD"/>
    <w:rsid w:val="008C22FD"/>
    <w:rsid w:val="008C4708"/>
    <w:rsid w:val="008C6C0C"/>
    <w:rsid w:val="008D01A5"/>
    <w:rsid w:val="008D1005"/>
    <w:rsid w:val="008E2A6E"/>
    <w:rsid w:val="008E7875"/>
    <w:rsid w:val="008E7AD0"/>
    <w:rsid w:val="008F0E54"/>
    <w:rsid w:val="008F74EE"/>
    <w:rsid w:val="00913769"/>
    <w:rsid w:val="00915234"/>
    <w:rsid w:val="009201B8"/>
    <w:rsid w:val="009245E0"/>
    <w:rsid w:val="009368CD"/>
    <w:rsid w:val="0094004E"/>
    <w:rsid w:val="00942631"/>
    <w:rsid w:val="00943EE9"/>
    <w:rsid w:val="00945C67"/>
    <w:rsid w:val="00950125"/>
    <w:rsid w:val="009519AE"/>
    <w:rsid w:val="009562EA"/>
    <w:rsid w:val="00971FF4"/>
    <w:rsid w:val="00973ABE"/>
    <w:rsid w:val="00983EA5"/>
    <w:rsid w:val="00986626"/>
    <w:rsid w:val="00986AA6"/>
    <w:rsid w:val="00987D81"/>
    <w:rsid w:val="0099665E"/>
    <w:rsid w:val="009A1EBE"/>
    <w:rsid w:val="009A3D99"/>
    <w:rsid w:val="009A624C"/>
    <w:rsid w:val="009B24C1"/>
    <w:rsid w:val="009B5D85"/>
    <w:rsid w:val="009B6612"/>
    <w:rsid w:val="009C5BDF"/>
    <w:rsid w:val="009D6147"/>
    <w:rsid w:val="009E679C"/>
    <w:rsid w:val="009F5F0B"/>
    <w:rsid w:val="009F7BD6"/>
    <w:rsid w:val="00A009A6"/>
    <w:rsid w:val="00A00FE0"/>
    <w:rsid w:val="00A1100D"/>
    <w:rsid w:val="00A1525B"/>
    <w:rsid w:val="00A2033B"/>
    <w:rsid w:val="00A26698"/>
    <w:rsid w:val="00A32345"/>
    <w:rsid w:val="00A41FD6"/>
    <w:rsid w:val="00A4217D"/>
    <w:rsid w:val="00A437C9"/>
    <w:rsid w:val="00A60B81"/>
    <w:rsid w:val="00A634BA"/>
    <w:rsid w:val="00A64DC0"/>
    <w:rsid w:val="00A6757D"/>
    <w:rsid w:val="00A70050"/>
    <w:rsid w:val="00A81A88"/>
    <w:rsid w:val="00A83F01"/>
    <w:rsid w:val="00A8597D"/>
    <w:rsid w:val="00A85FFE"/>
    <w:rsid w:val="00AA2F8A"/>
    <w:rsid w:val="00AA3442"/>
    <w:rsid w:val="00AA532D"/>
    <w:rsid w:val="00AB1987"/>
    <w:rsid w:val="00AB5A23"/>
    <w:rsid w:val="00AB639A"/>
    <w:rsid w:val="00AC2BFC"/>
    <w:rsid w:val="00AC4E15"/>
    <w:rsid w:val="00AD01D4"/>
    <w:rsid w:val="00AD0AE2"/>
    <w:rsid w:val="00AD0CBF"/>
    <w:rsid w:val="00AF2558"/>
    <w:rsid w:val="00AF34B5"/>
    <w:rsid w:val="00AF6EC9"/>
    <w:rsid w:val="00AF73BE"/>
    <w:rsid w:val="00B12E9F"/>
    <w:rsid w:val="00B17A54"/>
    <w:rsid w:val="00B17B14"/>
    <w:rsid w:val="00B221C2"/>
    <w:rsid w:val="00B2452C"/>
    <w:rsid w:val="00B35C47"/>
    <w:rsid w:val="00B44F4A"/>
    <w:rsid w:val="00B50815"/>
    <w:rsid w:val="00B61EFB"/>
    <w:rsid w:val="00B65FFF"/>
    <w:rsid w:val="00B737E6"/>
    <w:rsid w:val="00B76BF3"/>
    <w:rsid w:val="00B97C14"/>
    <w:rsid w:val="00BA0D47"/>
    <w:rsid w:val="00BA253C"/>
    <w:rsid w:val="00BA2D06"/>
    <w:rsid w:val="00BA7375"/>
    <w:rsid w:val="00BB08CB"/>
    <w:rsid w:val="00BB097B"/>
    <w:rsid w:val="00BC13DB"/>
    <w:rsid w:val="00BC7EB9"/>
    <w:rsid w:val="00BD126F"/>
    <w:rsid w:val="00BD29E8"/>
    <w:rsid w:val="00BD6F66"/>
    <w:rsid w:val="00BE01B4"/>
    <w:rsid w:val="00BE20FF"/>
    <w:rsid w:val="00BE734B"/>
    <w:rsid w:val="00BE791B"/>
    <w:rsid w:val="00BF07D3"/>
    <w:rsid w:val="00BF4361"/>
    <w:rsid w:val="00BF5124"/>
    <w:rsid w:val="00C027E0"/>
    <w:rsid w:val="00C02EAC"/>
    <w:rsid w:val="00C1250A"/>
    <w:rsid w:val="00C22912"/>
    <w:rsid w:val="00C248C7"/>
    <w:rsid w:val="00C334C7"/>
    <w:rsid w:val="00C40FF1"/>
    <w:rsid w:val="00C4630B"/>
    <w:rsid w:val="00C50580"/>
    <w:rsid w:val="00C51E77"/>
    <w:rsid w:val="00C5382D"/>
    <w:rsid w:val="00C5548D"/>
    <w:rsid w:val="00C57199"/>
    <w:rsid w:val="00C57F33"/>
    <w:rsid w:val="00C62730"/>
    <w:rsid w:val="00C62CAA"/>
    <w:rsid w:val="00C62FF9"/>
    <w:rsid w:val="00C649F2"/>
    <w:rsid w:val="00C667C9"/>
    <w:rsid w:val="00C671C9"/>
    <w:rsid w:val="00C81279"/>
    <w:rsid w:val="00C85020"/>
    <w:rsid w:val="00C906CE"/>
    <w:rsid w:val="00C91A0A"/>
    <w:rsid w:val="00C96727"/>
    <w:rsid w:val="00CA5775"/>
    <w:rsid w:val="00CB7AA8"/>
    <w:rsid w:val="00CC17FF"/>
    <w:rsid w:val="00CD1DE6"/>
    <w:rsid w:val="00CD4968"/>
    <w:rsid w:val="00CD6C97"/>
    <w:rsid w:val="00CE09E2"/>
    <w:rsid w:val="00CE1018"/>
    <w:rsid w:val="00CE4781"/>
    <w:rsid w:val="00CE6E23"/>
    <w:rsid w:val="00CF1C92"/>
    <w:rsid w:val="00CF2805"/>
    <w:rsid w:val="00CF4CD9"/>
    <w:rsid w:val="00D06879"/>
    <w:rsid w:val="00D0778A"/>
    <w:rsid w:val="00D123AB"/>
    <w:rsid w:val="00D259FD"/>
    <w:rsid w:val="00D33C12"/>
    <w:rsid w:val="00D41E58"/>
    <w:rsid w:val="00D50BE8"/>
    <w:rsid w:val="00D5245F"/>
    <w:rsid w:val="00D552D2"/>
    <w:rsid w:val="00D55402"/>
    <w:rsid w:val="00D55D85"/>
    <w:rsid w:val="00D56712"/>
    <w:rsid w:val="00D65001"/>
    <w:rsid w:val="00D657DC"/>
    <w:rsid w:val="00D6606B"/>
    <w:rsid w:val="00D670B4"/>
    <w:rsid w:val="00D716D2"/>
    <w:rsid w:val="00D844E7"/>
    <w:rsid w:val="00D86487"/>
    <w:rsid w:val="00D9193E"/>
    <w:rsid w:val="00D92236"/>
    <w:rsid w:val="00D96093"/>
    <w:rsid w:val="00D96140"/>
    <w:rsid w:val="00D974C7"/>
    <w:rsid w:val="00DA1AEF"/>
    <w:rsid w:val="00DA267D"/>
    <w:rsid w:val="00DA2FC6"/>
    <w:rsid w:val="00DA714D"/>
    <w:rsid w:val="00DB14B1"/>
    <w:rsid w:val="00DC13CE"/>
    <w:rsid w:val="00DC4105"/>
    <w:rsid w:val="00DC5FA9"/>
    <w:rsid w:val="00DD3ACB"/>
    <w:rsid w:val="00DD57EF"/>
    <w:rsid w:val="00DD5E58"/>
    <w:rsid w:val="00DE291F"/>
    <w:rsid w:val="00DF3E25"/>
    <w:rsid w:val="00E03A99"/>
    <w:rsid w:val="00E049CB"/>
    <w:rsid w:val="00E16578"/>
    <w:rsid w:val="00E205E2"/>
    <w:rsid w:val="00E25975"/>
    <w:rsid w:val="00E307FE"/>
    <w:rsid w:val="00E439A5"/>
    <w:rsid w:val="00E5508E"/>
    <w:rsid w:val="00E6041C"/>
    <w:rsid w:val="00E61331"/>
    <w:rsid w:val="00E626ED"/>
    <w:rsid w:val="00E64579"/>
    <w:rsid w:val="00E82F44"/>
    <w:rsid w:val="00E832A5"/>
    <w:rsid w:val="00E87CA7"/>
    <w:rsid w:val="00E909A5"/>
    <w:rsid w:val="00E9149D"/>
    <w:rsid w:val="00EA12FB"/>
    <w:rsid w:val="00EA3E2D"/>
    <w:rsid w:val="00EB1D7F"/>
    <w:rsid w:val="00EB4678"/>
    <w:rsid w:val="00EB5680"/>
    <w:rsid w:val="00EC2714"/>
    <w:rsid w:val="00EC3578"/>
    <w:rsid w:val="00EC6BA3"/>
    <w:rsid w:val="00ED2515"/>
    <w:rsid w:val="00ED55A4"/>
    <w:rsid w:val="00EE0428"/>
    <w:rsid w:val="00EE1BA4"/>
    <w:rsid w:val="00EE25D7"/>
    <w:rsid w:val="00EF1B9F"/>
    <w:rsid w:val="00EF2AAB"/>
    <w:rsid w:val="00EF466C"/>
    <w:rsid w:val="00EF6851"/>
    <w:rsid w:val="00F03927"/>
    <w:rsid w:val="00F054F7"/>
    <w:rsid w:val="00F14BC4"/>
    <w:rsid w:val="00F21D54"/>
    <w:rsid w:val="00F2266E"/>
    <w:rsid w:val="00F2271A"/>
    <w:rsid w:val="00F239D4"/>
    <w:rsid w:val="00F23B0C"/>
    <w:rsid w:val="00F245B5"/>
    <w:rsid w:val="00F267C0"/>
    <w:rsid w:val="00F2723D"/>
    <w:rsid w:val="00F35C7A"/>
    <w:rsid w:val="00F37987"/>
    <w:rsid w:val="00F439EB"/>
    <w:rsid w:val="00F47DB6"/>
    <w:rsid w:val="00F54AAA"/>
    <w:rsid w:val="00F5742E"/>
    <w:rsid w:val="00F604AB"/>
    <w:rsid w:val="00F640CE"/>
    <w:rsid w:val="00F679B8"/>
    <w:rsid w:val="00F7138E"/>
    <w:rsid w:val="00F725F6"/>
    <w:rsid w:val="00F858B6"/>
    <w:rsid w:val="00F86CD2"/>
    <w:rsid w:val="00F900CF"/>
    <w:rsid w:val="00F921B5"/>
    <w:rsid w:val="00F97976"/>
    <w:rsid w:val="00FA219D"/>
    <w:rsid w:val="00FA4ADE"/>
    <w:rsid w:val="00FA620F"/>
    <w:rsid w:val="00FB1FD7"/>
    <w:rsid w:val="00FB3623"/>
    <w:rsid w:val="00FC070D"/>
    <w:rsid w:val="00FC1930"/>
    <w:rsid w:val="00FD0DAF"/>
    <w:rsid w:val="00FD16AB"/>
    <w:rsid w:val="00FD245E"/>
    <w:rsid w:val="00FD293D"/>
    <w:rsid w:val="00FD3FDF"/>
    <w:rsid w:val="00FD523D"/>
    <w:rsid w:val="00FD576B"/>
    <w:rsid w:val="00FD6CC9"/>
    <w:rsid w:val="00FE0DD0"/>
    <w:rsid w:val="00FF2F95"/>
    <w:rsid w:val="00FF72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fillcolor="#002060" strokecolor="#4f81bd">
      <v:fill color="#002060"/>
      <v:stroke color="#4f81bd" weight="2pt"/>
      <v:shadow on="t" color="#243f60" opacity=".5" offset="6pt,6pt"/>
    </o:shapedefaults>
    <o:shapelayout v:ext="edit">
      <o:idmap v:ext="edit" data="1"/>
    </o:shapelayout>
  </w:shapeDefaults>
  <w:decimalSymbol w:val=","/>
  <w:listSeparator w:val=";"/>
  <w14:docId w14:val="1AC5F48E"/>
  <w15:chartTrackingRefBased/>
  <w15:docId w15:val="{30F45B8B-DA5D-4CF6-BE51-40B11B678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2EA"/>
    <w:pPr>
      <w:widowControl w:val="0"/>
      <w:tabs>
        <w:tab w:val="left" w:pos="119"/>
        <w:tab w:val="left" w:pos="238"/>
        <w:tab w:val="left" w:pos="363"/>
        <w:tab w:val="left" w:pos="482"/>
        <w:tab w:val="left" w:pos="601"/>
        <w:tab w:val="left" w:pos="720"/>
        <w:tab w:val="left" w:pos="839"/>
        <w:tab w:val="left" w:pos="958"/>
        <w:tab w:val="left" w:pos="1083"/>
        <w:tab w:val="left" w:pos="1202"/>
        <w:tab w:val="left" w:pos="1321"/>
        <w:tab w:val="left" w:pos="1440"/>
        <w:tab w:val="left" w:pos="1559"/>
        <w:tab w:val="left" w:pos="1678"/>
        <w:tab w:val="left" w:pos="1803"/>
        <w:tab w:val="left" w:pos="1922"/>
        <w:tab w:val="left" w:pos="2041"/>
        <w:tab w:val="left" w:pos="2160"/>
        <w:tab w:val="left" w:pos="2279"/>
        <w:tab w:val="left" w:pos="2398"/>
      </w:tabs>
      <w:jc w:val="both"/>
    </w:pPr>
    <w:rPr>
      <w:rFonts w:asciiTheme="minorHAnsi" w:hAnsiTheme="minorHAnsi"/>
    </w:rPr>
  </w:style>
  <w:style w:type="paragraph" w:styleId="Ttulo1">
    <w:name w:val="heading 1"/>
    <w:basedOn w:val="Ttulo"/>
    <w:next w:val="Corpodetexto"/>
    <w:qFormat/>
    <w:pPr>
      <w:numPr>
        <w:numId w:val="1"/>
      </w:numPr>
      <w:outlineLvl w:val="0"/>
    </w:pPr>
    <w:rPr>
      <w:b/>
      <w:sz w:val="32"/>
    </w:rPr>
  </w:style>
  <w:style w:type="paragraph" w:styleId="Ttulo2">
    <w:name w:val="heading 2"/>
    <w:basedOn w:val="Normal"/>
    <w:next w:val="Normal"/>
    <w:qFormat/>
    <w:pPr>
      <w:numPr>
        <w:ilvl w:val="1"/>
        <w:numId w:val="1"/>
      </w:numPr>
      <w:jc w:val="left"/>
      <w:outlineLvl w:val="1"/>
    </w:pPr>
    <w:rPr>
      <w:rFonts w:ascii="Arial" w:hAnsi="Arial"/>
      <w:b/>
    </w:rPr>
  </w:style>
  <w:style w:type="paragraph" w:styleId="Ttulo3">
    <w:name w:val="heading 3"/>
    <w:basedOn w:val="Normal"/>
    <w:next w:val="Normal"/>
    <w:qFormat/>
    <w:pPr>
      <w:keepNext/>
      <w:numPr>
        <w:ilvl w:val="2"/>
        <w:numId w:val="1"/>
      </w:numPr>
      <w:spacing w:before="240" w:after="60"/>
      <w:outlineLvl w:val="2"/>
    </w:pPr>
    <w:rPr>
      <w:b/>
      <w:sz w:val="24"/>
    </w:rPr>
  </w:style>
  <w:style w:type="paragraph" w:styleId="Ttulo4">
    <w:name w:val="heading 4"/>
    <w:basedOn w:val="Ttulo3"/>
    <w:next w:val="PARAGRAPH"/>
    <w:link w:val="Ttulo4Char"/>
    <w:qFormat/>
    <w:rsid w:val="007358DF"/>
    <w:pPr>
      <w:widowControl/>
      <w:numPr>
        <w:ilvl w:val="0"/>
        <w:numId w:val="0"/>
      </w:num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 w:val="num" w:pos="0"/>
      </w:tabs>
      <w:suppressAutoHyphens/>
      <w:adjustRightInd w:val="0"/>
      <w:snapToGrid w:val="0"/>
      <w:spacing w:after="100"/>
      <w:jc w:val="left"/>
      <w:outlineLvl w:val="3"/>
    </w:pPr>
    <w:rPr>
      <w:rFonts w:ascii="Arial" w:hAnsi="Arial" w:cs="Arial"/>
      <w:bCs/>
      <w:spacing w:val="8"/>
      <w:sz w:val="20"/>
      <w:szCs w:val="22"/>
      <w:lang w:val="en-GB" w:eastAsia="zh-CN"/>
    </w:rPr>
  </w:style>
  <w:style w:type="paragraph" w:styleId="Ttulo5">
    <w:name w:val="heading 5"/>
    <w:basedOn w:val="Ttulo4"/>
    <w:next w:val="PARAGRAPH"/>
    <w:link w:val="Ttulo5Char"/>
    <w:qFormat/>
    <w:rsid w:val="007358DF"/>
    <w:pPr>
      <w:outlineLvl w:val="4"/>
    </w:pPr>
  </w:style>
  <w:style w:type="paragraph" w:styleId="Ttulo6">
    <w:name w:val="heading 6"/>
    <w:basedOn w:val="Ttulo5"/>
    <w:next w:val="PARAGRAPH"/>
    <w:link w:val="Ttulo6Char"/>
    <w:qFormat/>
    <w:rsid w:val="007358DF"/>
    <w:pPr>
      <w:outlineLvl w:val="5"/>
    </w:pPr>
  </w:style>
  <w:style w:type="paragraph" w:styleId="Ttulo7">
    <w:name w:val="heading 7"/>
    <w:basedOn w:val="Ttulo6"/>
    <w:next w:val="PARAGRAPH"/>
    <w:link w:val="Ttulo7Char"/>
    <w:qFormat/>
    <w:rsid w:val="007358DF"/>
    <w:pPr>
      <w:outlineLvl w:val="6"/>
    </w:pPr>
  </w:style>
  <w:style w:type="paragraph" w:styleId="Ttulo8">
    <w:name w:val="heading 8"/>
    <w:basedOn w:val="Normal"/>
    <w:next w:val="Normal"/>
    <w:link w:val="Ttulo8Char"/>
    <w:qFormat/>
    <w:rsid w:val="00A1100D"/>
    <w:pPr>
      <w:spacing w:before="240" w:after="60"/>
      <w:outlineLvl w:val="7"/>
    </w:pPr>
    <w:rPr>
      <w:i/>
      <w:iCs/>
      <w:sz w:val="24"/>
      <w:szCs w:val="24"/>
    </w:rPr>
  </w:style>
  <w:style w:type="paragraph" w:styleId="Ttulo9">
    <w:name w:val="heading 9"/>
    <w:basedOn w:val="Ttulo"/>
    <w:next w:val="Corpodetexto"/>
    <w:qFormat/>
    <w:pPr>
      <w:outlineLvl w:val="8"/>
    </w:pPr>
    <w:rPr>
      <w:b/>
      <w:sz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Fontepargpadro">
    <w:name w:val="WW-Fonte parág. padrão"/>
  </w:style>
  <w:style w:type="character" w:customStyle="1" w:styleId="Marcasenmeros">
    <w:name w:val="Marcas e números"/>
    <w:rPr>
      <w:rFonts w:ascii="StarBats" w:hAnsi="StarBats"/>
      <w:sz w:val="18"/>
    </w:rPr>
  </w:style>
  <w:style w:type="paragraph" w:styleId="Corpodetexto">
    <w:name w:val="Body Text"/>
    <w:basedOn w:val="Normal"/>
    <w:pPr>
      <w:spacing w:line="249" w:lineRule="exact"/>
      <w:ind w:firstLine="238"/>
    </w:pPr>
    <w:rPr>
      <w:rFonts w:ascii="Times" w:hAnsi="Times"/>
      <w:sz w:val="21"/>
    </w:rPr>
  </w:style>
  <w:style w:type="paragraph" w:customStyle="1" w:styleId="Contedodetabela">
    <w:name w:val="Conteúdo de tabela"/>
    <w:basedOn w:val="Corpodetexto"/>
  </w:style>
  <w:style w:type="paragraph" w:customStyle="1" w:styleId="Ttulodetabela">
    <w:name w:val="Título de tabela"/>
    <w:basedOn w:val="Contedodetabela"/>
    <w:pPr>
      <w:jc w:val="center"/>
    </w:pPr>
    <w:rPr>
      <w:b/>
      <w:i/>
    </w:rPr>
  </w:style>
  <w:style w:type="paragraph" w:styleId="Ttulo">
    <w:name w:val="Title"/>
    <w:basedOn w:val="Normal"/>
    <w:next w:val="Corpodetexto"/>
    <w:qFormat/>
    <w:pPr>
      <w:keepNext/>
      <w:spacing w:before="240" w:after="120"/>
    </w:pPr>
    <w:rPr>
      <w:rFonts w:ascii="Arial" w:hAnsi="Arial"/>
      <w:sz w:val="28"/>
    </w:rPr>
  </w:style>
  <w:style w:type="paragraph" w:customStyle="1" w:styleId="BolaETraco">
    <w:name w:val="BolaETraco"/>
    <w:basedOn w:val="Normal1"/>
    <w:pPr>
      <w:tabs>
        <w:tab w:val="left" w:pos="160"/>
        <w:tab w:val="right" w:pos="3180"/>
      </w:tabs>
      <w:ind w:firstLine="0"/>
    </w:pPr>
    <w:rPr>
      <w:rFonts w:ascii="Times New Roman" w:hAnsi="Times New Roman"/>
      <w:sz w:val="21"/>
    </w:rPr>
  </w:style>
  <w:style w:type="paragraph" w:customStyle="1" w:styleId="Legendas">
    <w:name w:val="Legendas"/>
    <w:pPr>
      <w:widowControl w:val="0"/>
      <w:suppressAutoHyphens/>
      <w:spacing w:line="200" w:lineRule="exact"/>
    </w:pPr>
    <w:rPr>
      <w:rFonts w:ascii="Arial" w:hAnsi="Arial"/>
      <w:i/>
      <w:noProof/>
      <w:kern w:val="27905"/>
      <w:sz w:val="18"/>
    </w:rPr>
  </w:style>
  <w:style w:type="paragraph" w:customStyle="1" w:styleId="Subtitulo1">
    <w:name w:val="Subtitulo1"/>
    <w:pPr>
      <w:widowControl w:val="0"/>
      <w:suppressAutoHyphens/>
      <w:spacing w:line="250" w:lineRule="exact"/>
    </w:pPr>
    <w:rPr>
      <w:rFonts w:ascii="Arial" w:hAnsi="Arial"/>
      <w:b/>
      <w:noProof/>
      <w:kern w:val="27905"/>
      <w:sz w:val="19"/>
    </w:rPr>
  </w:style>
  <w:style w:type="paragraph" w:customStyle="1" w:styleId="Subtitulo2">
    <w:name w:val="Subtitulo2"/>
    <w:basedOn w:val="Normal1"/>
    <w:pPr>
      <w:suppressAutoHyphens/>
      <w:ind w:firstLine="0"/>
      <w:jc w:val="left"/>
    </w:pPr>
    <w:rPr>
      <w:i/>
      <w:sz w:val="21"/>
    </w:rPr>
  </w:style>
  <w:style w:type="paragraph" w:customStyle="1" w:styleId="Autor">
    <w:name w:val="Autor"/>
    <w:pPr>
      <w:widowControl w:val="0"/>
      <w:suppressAutoHyphens/>
      <w:spacing w:line="260" w:lineRule="exact"/>
      <w:jc w:val="right"/>
    </w:pPr>
    <w:rPr>
      <w:rFonts w:ascii="Arial" w:hAnsi="Arial"/>
      <w:i/>
      <w:lang w:val="pt-PT"/>
    </w:rPr>
  </w:style>
  <w:style w:type="paragraph" w:customStyle="1" w:styleId="Olho">
    <w:name w:val="Olho"/>
    <w:pPr>
      <w:widowControl w:val="0"/>
      <w:suppressAutoHyphens/>
      <w:spacing w:line="260" w:lineRule="exact"/>
    </w:pPr>
    <w:rPr>
      <w:rFonts w:ascii="Arial" w:hAnsi="Arial"/>
      <w:i/>
      <w:sz w:val="22"/>
      <w:lang w:val="pt-PT"/>
    </w:rPr>
  </w:style>
  <w:style w:type="paragraph" w:customStyle="1" w:styleId="NotaDePrimeiraPagina">
    <w:name w:val="NotaDePrimeiraPagina"/>
    <w:pPr>
      <w:widowControl w:val="0"/>
      <w:spacing w:line="170" w:lineRule="exact"/>
      <w:jc w:val="both"/>
    </w:pPr>
    <w:rPr>
      <w:rFonts w:ascii="HelmetCondensed" w:hAnsi="HelmetCondensed"/>
      <w:spacing w:val="14"/>
      <w:sz w:val="15"/>
      <w:lang w:val="pt-PT"/>
    </w:rPr>
  </w:style>
  <w:style w:type="paragraph" w:customStyle="1" w:styleId="Referencias">
    <w:name w:val="Referencias"/>
    <w:next w:val="Bibliografia1"/>
    <w:pPr>
      <w:widowControl w:val="0"/>
      <w:pBdr>
        <w:top w:val="single" w:sz="1" w:space="1" w:color="000000"/>
      </w:pBdr>
      <w:suppressAutoHyphens/>
      <w:spacing w:before="255" w:after="124" w:line="160" w:lineRule="exact"/>
      <w:jc w:val="both"/>
    </w:pPr>
    <w:rPr>
      <w:rFonts w:ascii="Arial" w:hAnsi="Arial"/>
      <w:b/>
      <w:sz w:val="17"/>
      <w:lang w:val="pt-PT"/>
    </w:rPr>
  </w:style>
  <w:style w:type="paragraph" w:customStyle="1" w:styleId="Bibliografia1">
    <w:name w:val="Bibliografia1"/>
    <w:pPr>
      <w:widowControl w:val="0"/>
      <w:tabs>
        <w:tab w:val="left" w:pos="240"/>
      </w:tabs>
      <w:suppressAutoHyphens/>
      <w:spacing w:line="160" w:lineRule="exact"/>
      <w:ind w:left="240" w:hanging="240"/>
      <w:jc w:val="both"/>
    </w:pPr>
    <w:rPr>
      <w:rFonts w:ascii="HelmetCondensed" w:hAnsi="HelmetCondensed"/>
      <w:spacing w:val="4"/>
      <w:sz w:val="14"/>
      <w:lang w:val="pt-PT"/>
    </w:rPr>
  </w:style>
  <w:style w:type="paragraph" w:customStyle="1" w:styleId="NotaFinal">
    <w:name w:val="NotaFinal"/>
    <w:pPr>
      <w:widowControl w:val="0"/>
      <w:pBdr>
        <w:top w:val="single" w:sz="1" w:space="1" w:color="000000"/>
      </w:pBdr>
      <w:spacing w:before="219" w:after="160" w:line="180" w:lineRule="exact"/>
      <w:jc w:val="both"/>
    </w:pPr>
    <w:rPr>
      <w:rFonts w:ascii="SansSerif" w:hAnsi="SansSerif"/>
      <w:i/>
      <w:noProof/>
      <w:spacing w:val="-2"/>
      <w:kern w:val="27905"/>
      <w:sz w:val="15"/>
    </w:rPr>
  </w:style>
  <w:style w:type="paragraph" w:customStyle="1" w:styleId="TituloApendice">
    <w:name w:val="TituloApendice"/>
    <w:pPr>
      <w:widowControl w:val="0"/>
      <w:pBdr>
        <w:top w:val="single" w:sz="8" w:space="1" w:color="000000"/>
      </w:pBdr>
      <w:suppressAutoHyphens/>
      <w:spacing w:before="425" w:line="300" w:lineRule="exact"/>
      <w:ind w:left="120" w:right="120" w:firstLine="1"/>
      <w:jc w:val="center"/>
    </w:pPr>
    <w:rPr>
      <w:rFonts w:ascii="Futura2-Normal (Tur)" w:hAnsi="Futura2-Normal (Tur)"/>
      <w:b/>
      <w:noProof/>
      <w:spacing w:val="4"/>
      <w:kern w:val="27905"/>
      <w:sz w:val="28"/>
    </w:rPr>
  </w:style>
  <w:style w:type="paragraph" w:customStyle="1" w:styleId="TituloMateria">
    <w:name w:val="TituloMateria"/>
    <w:pPr>
      <w:widowControl w:val="0"/>
      <w:suppressAutoHyphens/>
      <w:spacing w:line="740" w:lineRule="exact"/>
      <w:jc w:val="right"/>
    </w:pPr>
    <w:rPr>
      <w:rFonts w:ascii="Arial" w:hAnsi="Arial"/>
      <w:b/>
      <w:i/>
      <w:sz w:val="60"/>
      <w:lang w:val="pt-PT"/>
    </w:rPr>
  </w:style>
  <w:style w:type="paragraph" w:customStyle="1" w:styleId="ChapeuAbertura">
    <w:name w:val="ChapeuAbertura"/>
    <w:pPr>
      <w:widowControl w:val="0"/>
      <w:suppressAutoHyphens/>
      <w:ind w:left="240" w:firstLine="1"/>
    </w:pPr>
    <w:rPr>
      <w:rFonts w:ascii="Arial" w:hAnsi="Arial"/>
      <w:i/>
      <w:caps/>
      <w:sz w:val="28"/>
      <w:lang w:val="pt-PT"/>
    </w:rPr>
  </w:style>
  <w:style w:type="paragraph" w:customStyle="1" w:styleId="Contedodamoldura">
    <w:name w:val="Conteúdo da moldura"/>
    <w:basedOn w:val="Corpodetexto"/>
  </w:style>
  <w:style w:type="paragraph" w:styleId="Legenda">
    <w:name w:val="caption"/>
    <w:basedOn w:val="Normal"/>
    <w:qFormat/>
    <w:pPr>
      <w:spacing w:before="120" w:after="120"/>
    </w:pPr>
    <w:rPr>
      <w:rFonts w:ascii="Arial" w:hAnsi="Arial"/>
      <w:i/>
    </w:rPr>
  </w:style>
  <w:style w:type="paragraph" w:customStyle="1" w:styleId="Texto">
    <w:name w:val="Texto"/>
    <w:basedOn w:val="Legenda"/>
  </w:style>
  <w:style w:type="paragraph" w:styleId="Lista">
    <w:name w:val="List"/>
    <w:basedOn w:val="Corpodetexto"/>
  </w:style>
  <w:style w:type="paragraph" w:customStyle="1" w:styleId="ndice">
    <w:name w:val="Índice"/>
    <w:basedOn w:val="Normal"/>
  </w:style>
  <w:style w:type="paragraph" w:styleId="Primeirorecuodecorpodetexto">
    <w:name w:val="Body Text First Indent"/>
    <w:basedOn w:val="Corpodetexto"/>
    <w:pPr>
      <w:ind w:firstLine="283"/>
    </w:pPr>
  </w:style>
  <w:style w:type="paragraph" w:customStyle="1" w:styleId="ParagrafoInicial">
    <w:name w:val="ParagrafoInicial"/>
    <w:basedOn w:val="BolaETraco"/>
    <w:next w:val="Normal1"/>
    <w:pPr>
      <w:spacing w:before="260"/>
    </w:pPr>
  </w:style>
  <w:style w:type="paragraph" w:customStyle="1" w:styleId="Normal1">
    <w:name w:val="Normal1"/>
    <w:rsid w:val="00680FE3"/>
    <w:pPr>
      <w:widowControl w:val="0"/>
      <w:tabs>
        <w:tab w:val="left" w:pos="119"/>
        <w:tab w:val="left" w:pos="238"/>
        <w:tab w:val="left" w:pos="363"/>
        <w:tab w:val="left" w:pos="482"/>
        <w:tab w:val="left" w:pos="601"/>
        <w:tab w:val="left" w:pos="720"/>
        <w:tab w:val="left" w:pos="839"/>
        <w:tab w:val="left" w:pos="958"/>
        <w:tab w:val="left" w:pos="1083"/>
        <w:tab w:val="left" w:pos="1202"/>
        <w:tab w:val="left" w:pos="1321"/>
        <w:tab w:val="left" w:pos="1440"/>
        <w:tab w:val="left" w:pos="1559"/>
        <w:tab w:val="left" w:pos="1678"/>
        <w:tab w:val="left" w:pos="1803"/>
        <w:tab w:val="left" w:pos="1922"/>
        <w:tab w:val="left" w:pos="2041"/>
        <w:tab w:val="left" w:pos="2160"/>
        <w:tab w:val="left" w:pos="2279"/>
        <w:tab w:val="left" w:pos="2398"/>
      </w:tabs>
      <w:spacing w:line="250" w:lineRule="exact"/>
      <w:ind w:firstLine="240"/>
      <w:jc w:val="both"/>
    </w:pPr>
    <w:rPr>
      <w:rFonts w:ascii="Arial" w:hAnsi="Arial"/>
      <w:lang w:val="pt-PT"/>
    </w:rPr>
  </w:style>
  <w:style w:type="paragraph" w:customStyle="1" w:styleId="ParagrafoFinal">
    <w:name w:val="ParagrafoFinal"/>
    <w:basedOn w:val="Normal1"/>
    <w:next w:val="TituloDasNoticias"/>
    <w:pPr>
      <w:pBdr>
        <w:bottom w:val="single" w:sz="1" w:space="1" w:color="000000"/>
      </w:pBdr>
      <w:spacing w:after="620"/>
    </w:pPr>
    <w:rPr>
      <w:sz w:val="21"/>
    </w:rPr>
  </w:style>
  <w:style w:type="paragraph" w:customStyle="1" w:styleId="SecaoNotas">
    <w:name w:val="SecaoNotas"/>
    <w:pPr>
      <w:widowControl w:val="0"/>
      <w:pBdr>
        <w:top w:val="single" w:sz="20" w:space="1" w:color="000000"/>
        <w:bottom w:val="single" w:sz="20" w:space="1" w:color="000000"/>
      </w:pBdr>
      <w:suppressAutoHyphens/>
      <w:spacing w:before="360" w:after="460" w:line="440" w:lineRule="exact"/>
    </w:pPr>
    <w:rPr>
      <w:rFonts w:ascii="Arial Black" w:hAnsi="Arial Black"/>
      <w:caps/>
      <w:noProof/>
      <w:spacing w:val="-50"/>
      <w:kern w:val="27905"/>
      <w:sz w:val="44"/>
    </w:rPr>
  </w:style>
  <w:style w:type="paragraph" w:customStyle="1" w:styleId="TituloDasNoticias">
    <w:name w:val="TituloDasNoticias"/>
    <w:pPr>
      <w:widowControl w:val="0"/>
      <w:suppressAutoHyphens/>
      <w:spacing w:line="420" w:lineRule="exact"/>
    </w:pPr>
    <w:rPr>
      <w:rFonts w:ascii="HelmetCondensed" w:hAnsi="HelmetCondensed"/>
      <w:b/>
      <w:caps/>
      <w:spacing w:val="-14"/>
      <w:sz w:val="40"/>
      <w:lang w:val="pt-PT"/>
    </w:rPr>
  </w:style>
  <w:style w:type="paragraph" w:customStyle="1" w:styleId="Rodapdireita">
    <w:name w:val="Rodapé à direita"/>
    <w:basedOn w:val="Normal"/>
    <w:pPr>
      <w:tabs>
        <w:tab w:val="center" w:pos="4921"/>
        <w:tab w:val="right" w:pos="9843"/>
      </w:tabs>
    </w:pPr>
  </w:style>
  <w:style w:type="character" w:styleId="Hyperlink">
    <w:name w:val="Hyperlink"/>
    <w:rsid w:val="008D01A5"/>
    <w:rPr>
      <w:color w:val="0000FF"/>
      <w:u w:val="single"/>
    </w:rPr>
  </w:style>
  <w:style w:type="character" w:customStyle="1" w:styleId="Legenda1">
    <w:name w:val="Legenda1"/>
    <w:basedOn w:val="Fontepargpadro"/>
    <w:rsid w:val="00B50815"/>
  </w:style>
  <w:style w:type="paragraph" w:styleId="Cabealho">
    <w:name w:val="header"/>
    <w:basedOn w:val="Normal"/>
    <w:link w:val="CabealhoChar"/>
    <w:rsid w:val="00AC2BFC"/>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 w:val="center" w:pos="4252"/>
        <w:tab w:val="right" w:pos="8504"/>
      </w:tabs>
    </w:pPr>
  </w:style>
  <w:style w:type="paragraph" w:styleId="Rodap">
    <w:name w:val="footer"/>
    <w:basedOn w:val="Normal"/>
    <w:link w:val="RodapChar"/>
    <w:uiPriority w:val="99"/>
    <w:rsid w:val="00AC2BFC"/>
    <w:pPr>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 w:val="center" w:pos="4252"/>
        <w:tab w:val="right" w:pos="8504"/>
      </w:tabs>
    </w:pPr>
  </w:style>
  <w:style w:type="character" w:styleId="Nmerodepgina">
    <w:name w:val="page number"/>
    <w:basedOn w:val="Fontepargpadro"/>
    <w:rsid w:val="00AC2BFC"/>
  </w:style>
  <w:style w:type="character" w:customStyle="1" w:styleId="PARAGRAPHChar">
    <w:name w:val="PARAGRAPH Char"/>
    <w:link w:val="PARAGRAPH"/>
    <w:rsid w:val="003A2ABE"/>
    <w:rPr>
      <w:rFonts w:asciiTheme="minorHAnsi" w:hAnsiTheme="minorHAnsi" w:cs="Arial"/>
      <w:spacing w:val="8"/>
      <w:lang w:val="en-GB" w:eastAsia="zh-CN"/>
    </w:rPr>
  </w:style>
  <w:style w:type="paragraph" w:customStyle="1" w:styleId="PARAGRAPH">
    <w:name w:val="PARAGRAPH"/>
    <w:link w:val="PARAGRAPHChar"/>
    <w:qFormat/>
    <w:rsid w:val="003A2ABE"/>
    <w:pPr>
      <w:snapToGrid w:val="0"/>
      <w:spacing w:before="100" w:after="200"/>
      <w:jc w:val="both"/>
    </w:pPr>
    <w:rPr>
      <w:rFonts w:asciiTheme="minorHAnsi" w:hAnsiTheme="minorHAnsi" w:cs="Arial"/>
      <w:spacing w:val="8"/>
      <w:lang w:val="en-GB" w:eastAsia="zh-CN"/>
    </w:rPr>
  </w:style>
  <w:style w:type="character" w:customStyle="1" w:styleId="Ttulo8Char">
    <w:name w:val="Título 8 Char"/>
    <w:link w:val="Ttulo8"/>
    <w:rsid w:val="00A1100D"/>
    <w:rPr>
      <w:i/>
      <w:iCs/>
      <w:sz w:val="24"/>
      <w:szCs w:val="24"/>
      <w:lang w:val="pt-PT" w:eastAsia="pt-BR" w:bidi="ar-SA"/>
    </w:rPr>
  </w:style>
  <w:style w:type="character" w:styleId="HiperlinkVisitado">
    <w:name w:val="FollowedHyperlink"/>
    <w:rsid w:val="006D0FD2"/>
    <w:rPr>
      <w:color w:val="800080"/>
      <w:u w:val="single"/>
    </w:rPr>
  </w:style>
  <w:style w:type="character" w:customStyle="1" w:styleId="purple1">
    <w:name w:val="purple1"/>
    <w:rsid w:val="006D0FD2"/>
    <w:rPr>
      <w:rFonts w:ascii="Arial" w:hAnsi="Arial" w:cs="Arial" w:hint="default"/>
      <w:b/>
      <w:bCs/>
      <w:strike w:val="0"/>
      <w:dstrike w:val="0"/>
      <w:color w:val="990099"/>
      <w:sz w:val="15"/>
      <w:szCs w:val="15"/>
      <w:u w:val="none"/>
      <w:effect w:val="none"/>
    </w:rPr>
  </w:style>
  <w:style w:type="paragraph" w:customStyle="1" w:styleId="PargrafodaLista1">
    <w:name w:val="Parágrafo da Lista1"/>
    <w:basedOn w:val="Normal"/>
    <w:uiPriority w:val="34"/>
    <w:qFormat/>
    <w:rsid w:val="003B012C"/>
    <w:pPr>
      <w:widowControl/>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spacing w:after="200" w:line="276" w:lineRule="auto"/>
      <w:ind w:left="720"/>
      <w:jc w:val="left"/>
    </w:pPr>
    <w:rPr>
      <w:rFonts w:ascii="Calibri" w:eastAsia="Calibri" w:hAnsi="Calibri"/>
      <w:sz w:val="22"/>
      <w:szCs w:val="22"/>
      <w:lang w:eastAsia="en-US"/>
    </w:rPr>
  </w:style>
  <w:style w:type="paragraph" w:styleId="Recuodecorpodetexto">
    <w:name w:val="Body Text Indent"/>
    <w:basedOn w:val="Normal"/>
    <w:link w:val="RecuodecorpodetextoChar"/>
    <w:rsid w:val="009F5F0B"/>
    <w:pPr>
      <w:spacing w:after="120"/>
      <w:ind w:left="283"/>
    </w:pPr>
  </w:style>
  <w:style w:type="character" w:customStyle="1" w:styleId="RecuodecorpodetextoChar">
    <w:name w:val="Recuo de corpo de texto Char"/>
    <w:link w:val="Recuodecorpodetexto"/>
    <w:rsid w:val="009F5F0B"/>
    <w:rPr>
      <w:sz w:val="21"/>
      <w:lang w:val="pt-PT"/>
    </w:rPr>
  </w:style>
  <w:style w:type="character" w:customStyle="1" w:styleId="RodapChar">
    <w:name w:val="Rodapé Char"/>
    <w:link w:val="Rodap"/>
    <w:uiPriority w:val="99"/>
    <w:rsid w:val="00C57199"/>
    <w:rPr>
      <w:sz w:val="21"/>
      <w:lang w:val="pt-PT"/>
    </w:rPr>
  </w:style>
  <w:style w:type="paragraph" w:customStyle="1" w:styleId="TABLE-cell">
    <w:name w:val="TABLE-cell"/>
    <w:basedOn w:val="Normal"/>
    <w:qFormat/>
    <w:rsid w:val="001426D3"/>
    <w:pPr>
      <w:widowControl/>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snapToGrid w:val="0"/>
      <w:spacing w:before="60" w:after="60"/>
      <w:jc w:val="left"/>
    </w:pPr>
    <w:rPr>
      <w:rFonts w:ascii="Arial" w:hAnsi="Arial" w:cs="Arial"/>
      <w:sz w:val="16"/>
      <w:szCs w:val="16"/>
      <w:lang w:eastAsia="zh-CN"/>
    </w:rPr>
  </w:style>
  <w:style w:type="paragraph" w:styleId="NormalWeb">
    <w:name w:val="Normal (Web)"/>
    <w:basedOn w:val="Normal"/>
    <w:uiPriority w:val="99"/>
    <w:rsid w:val="001426D3"/>
    <w:pPr>
      <w:widowControl/>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s>
      <w:spacing w:before="100" w:beforeAutospacing="1" w:after="100" w:afterAutospacing="1"/>
    </w:pPr>
    <w:rPr>
      <w:rFonts w:ascii="Arial" w:hAnsi="Arial"/>
      <w:sz w:val="19"/>
      <w:szCs w:val="24"/>
    </w:rPr>
  </w:style>
  <w:style w:type="paragraph" w:customStyle="1" w:styleId="Tabela-Ttulocomnumerao">
    <w:name w:val="Tabela - Título com numeração"/>
    <w:next w:val="Normal"/>
    <w:rsid w:val="00055E29"/>
    <w:pPr>
      <w:widowControl w:val="0"/>
      <w:numPr>
        <w:numId w:val="3"/>
      </w:numPr>
      <w:tabs>
        <w:tab w:val="clear" w:pos="0"/>
        <w:tab w:val="num" w:pos="-357"/>
      </w:tabs>
      <w:spacing w:before="120" w:after="120" w:line="230" w:lineRule="atLeast"/>
      <w:ind w:firstLine="0"/>
      <w:jc w:val="center"/>
    </w:pPr>
    <w:rPr>
      <w:rFonts w:ascii="Arial" w:eastAsia="MS Mincho" w:hAnsi="Arial"/>
      <w:b/>
      <w:sz w:val="22"/>
      <w:lang w:eastAsia="ja-JP"/>
    </w:rPr>
  </w:style>
  <w:style w:type="paragraph" w:customStyle="1" w:styleId="NOTE">
    <w:name w:val="NOTE"/>
    <w:basedOn w:val="Normal"/>
    <w:qFormat/>
    <w:rsid w:val="00055E29"/>
    <w:pPr>
      <w:widowControl/>
      <w:tabs>
        <w:tab w:val="clear" w:pos="119"/>
        <w:tab w:val="clear" w:pos="238"/>
        <w:tab w:val="clear" w:pos="363"/>
        <w:tab w:val="clear" w:pos="482"/>
        <w:tab w:val="clear" w:pos="601"/>
        <w:tab w:val="clear" w:pos="720"/>
        <w:tab w:val="clear" w:pos="839"/>
        <w:tab w:val="clear" w:pos="958"/>
        <w:tab w:val="clear" w:pos="1083"/>
        <w:tab w:val="clear" w:pos="1202"/>
        <w:tab w:val="clear" w:pos="1321"/>
        <w:tab w:val="clear" w:pos="1440"/>
        <w:tab w:val="clear" w:pos="1559"/>
        <w:tab w:val="clear" w:pos="1678"/>
        <w:tab w:val="clear" w:pos="1803"/>
        <w:tab w:val="clear" w:pos="1922"/>
        <w:tab w:val="clear" w:pos="2041"/>
        <w:tab w:val="clear" w:pos="2160"/>
        <w:tab w:val="clear" w:pos="2279"/>
        <w:tab w:val="clear" w:pos="2398"/>
        <w:tab w:val="left" w:pos="993"/>
      </w:tabs>
      <w:overflowPunct w:val="0"/>
      <w:autoSpaceDE w:val="0"/>
      <w:autoSpaceDN w:val="0"/>
      <w:adjustRightInd w:val="0"/>
      <w:spacing w:after="200"/>
      <w:ind w:left="284"/>
      <w:textAlignment w:val="baseline"/>
    </w:pPr>
    <w:rPr>
      <w:rFonts w:ascii="Arial" w:hAnsi="Arial"/>
      <w:spacing w:val="8"/>
      <w:sz w:val="16"/>
      <w:lang w:val="en-GB"/>
    </w:rPr>
  </w:style>
  <w:style w:type="paragraph" w:customStyle="1" w:styleId="TABLE-col-heading">
    <w:name w:val="TABLE-col-heading"/>
    <w:basedOn w:val="PARAGRAPH"/>
    <w:qFormat/>
    <w:rsid w:val="00055E29"/>
    <w:pPr>
      <w:spacing w:before="60" w:after="60"/>
      <w:jc w:val="center"/>
    </w:pPr>
    <w:rPr>
      <w:b/>
      <w:bCs/>
      <w:spacing w:val="0"/>
      <w:sz w:val="16"/>
      <w:szCs w:val="16"/>
    </w:rPr>
  </w:style>
  <w:style w:type="paragraph" w:styleId="Listadecontinuao">
    <w:name w:val="List Continue"/>
    <w:basedOn w:val="Normal"/>
    <w:rsid w:val="00AB639A"/>
    <w:pPr>
      <w:spacing w:after="120"/>
      <w:ind w:left="283"/>
      <w:contextualSpacing/>
    </w:pPr>
  </w:style>
  <w:style w:type="character" w:customStyle="1" w:styleId="VARIABLE">
    <w:name w:val="VARIABLE"/>
    <w:rsid w:val="00AB639A"/>
    <w:rPr>
      <w:rFonts w:ascii="Times New Roman" w:hAnsi="Times New Roman"/>
      <w:i/>
      <w:iCs/>
    </w:rPr>
  </w:style>
  <w:style w:type="paragraph" w:customStyle="1" w:styleId="Pargrafo11pt">
    <w:name w:val="Parágrafo 11 pt"/>
    <w:uiPriority w:val="99"/>
    <w:rsid w:val="00915234"/>
    <w:pPr>
      <w:widowControl w:val="0"/>
      <w:tabs>
        <w:tab w:val="left" w:pos="10773"/>
      </w:tabs>
      <w:spacing w:after="240" w:line="230" w:lineRule="atLeast"/>
      <w:jc w:val="both"/>
    </w:pPr>
    <w:rPr>
      <w:rFonts w:ascii="Arial" w:hAnsi="Arial"/>
      <w:noProof/>
      <w:sz w:val="22"/>
      <w:szCs w:val="24"/>
    </w:rPr>
  </w:style>
  <w:style w:type="character" w:customStyle="1" w:styleId="CabealhoChar">
    <w:name w:val="Cabeçalho Char"/>
    <w:link w:val="Cabealho"/>
    <w:rsid w:val="00220BD6"/>
    <w:rPr>
      <w:sz w:val="21"/>
      <w:lang w:val="pt-PT"/>
    </w:rPr>
  </w:style>
  <w:style w:type="table" w:styleId="Tabelacomgrade">
    <w:name w:val="Table Grid"/>
    <w:basedOn w:val="Tabelanormal"/>
    <w:rsid w:val="008750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1">
    <w:name w:val="Medium Grid 3 Accent 1"/>
    <w:basedOn w:val="Tabelanormal"/>
    <w:uiPriority w:val="69"/>
    <w:rsid w:val="00E205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GradeMdia3-nfase5">
    <w:name w:val="Medium Grid 3 Accent 5"/>
    <w:basedOn w:val="Tabelanormal"/>
    <w:uiPriority w:val="69"/>
    <w:rsid w:val="007834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GradeColorida-nfase5">
    <w:name w:val="Colorful Grid Accent 5"/>
    <w:basedOn w:val="Tabelanormal"/>
    <w:uiPriority w:val="73"/>
    <w:rsid w:val="007834E2"/>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styleId="PargrafodaLista">
    <w:name w:val="List Paragraph"/>
    <w:basedOn w:val="Normal"/>
    <w:uiPriority w:val="34"/>
    <w:qFormat/>
    <w:rsid w:val="00CF4CD9"/>
    <w:pPr>
      <w:ind w:left="720"/>
      <w:contextualSpacing/>
    </w:pPr>
  </w:style>
  <w:style w:type="character" w:customStyle="1" w:styleId="MenoPendente1">
    <w:name w:val="Menção Pendente1"/>
    <w:basedOn w:val="Fontepargpadro"/>
    <w:uiPriority w:val="99"/>
    <w:semiHidden/>
    <w:unhideWhenUsed/>
    <w:rsid w:val="007E27A2"/>
    <w:rPr>
      <w:color w:val="605E5C"/>
      <w:shd w:val="clear" w:color="auto" w:fill="E1DFDD"/>
    </w:rPr>
  </w:style>
  <w:style w:type="paragraph" w:styleId="Corpodetexto3">
    <w:name w:val="Body Text 3"/>
    <w:basedOn w:val="Normal"/>
    <w:link w:val="Corpodetexto3Char"/>
    <w:rsid w:val="006204DD"/>
    <w:pPr>
      <w:spacing w:after="120"/>
    </w:pPr>
    <w:rPr>
      <w:sz w:val="16"/>
      <w:szCs w:val="16"/>
    </w:rPr>
  </w:style>
  <w:style w:type="character" w:customStyle="1" w:styleId="Corpodetexto3Char">
    <w:name w:val="Corpo de texto 3 Char"/>
    <w:basedOn w:val="Fontepargpadro"/>
    <w:link w:val="Corpodetexto3"/>
    <w:rsid w:val="006204DD"/>
    <w:rPr>
      <w:sz w:val="16"/>
      <w:szCs w:val="16"/>
    </w:rPr>
  </w:style>
  <w:style w:type="character" w:customStyle="1" w:styleId="Ttulo4Char">
    <w:name w:val="Título 4 Char"/>
    <w:basedOn w:val="Fontepargpadro"/>
    <w:link w:val="Ttulo4"/>
    <w:rsid w:val="007358DF"/>
    <w:rPr>
      <w:rFonts w:ascii="Arial" w:hAnsi="Arial" w:cs="Arial"/>
      <w:b/>
      <w:bCs/>
      <w:spacing w:val="8"/>
      <w:szCs w:val="22"/>
      <w:lang w:val="en-GB" w:eastAsia="zh-CN"/>
    </w:rPr>
  </w:style>
  <w:style w:type="character" w:customStyle="1" w:styleId="Ttulo5Char">
    <w:name w:val="Título 5 Char"/>
    <w:basedOn w:val="Fontepargpadro"/>
    <w:link w:val="Ttulo5"/>
    <w:rsid w:val="007358DF"/>
    <w:rPr>
      <w:rFonts w:ascii="Arial" w:hAnsi="Arial" w:cs="Arial"/>
      <w:b/>
      <w:bCs/>
      <w:spacing w:val="8"/>
      <w:szCs w:val="22"/>
      <w:lang w:val="en-GB" w:eastAsia="zh-CN"/>
    </w:rPr>
  </w:style>
  <w:style w:type="character" w:customStyle="1" w:styleId="Ttulo6Char">
    <w:name w:val="Título 6 Char"/>
    <w:basedOn w:val="Fontepargpadro"/>
    <w:link w:val="Ttulo6"/>
    <w:rsid w:val="007358DF"/>
    <w:rPr>
      <w:rFonts w:ascii="Arial" w:hAnsi="Arial" w:cs="Arial"/>
      <w:b/>
      <w:bCs/>
      <w:spacing w:val="8"/>
      <w:szCs w:val="22"/>
      <w:lang w:val="en-GB" w:eastAsia="zh-CN"/>
    </w:rPr>
  </w:style>
  <w:style w:type="character" w:customStyle="1" w:styleId="Ttulo7Char">
    <w:name w:val="Título 7 Char"/>
    <w:basedOn w:val="Fontepargpadro"/>
    <w:link w:val="Ttulo7"/>
    <w:rsid w:val="007358DF"/>
    <w:rPr>
      <w:rFonts w:ascii="Arial" w:hAnsi="Arial" w:cs="Arial"/>
      <w:b/>
      <w:bCs/>
      <w:spacing w:val="8"/>
      <w:szCs w:val="22"/>
      <w:lang w:val="en-GB" w:eastAsia="zh-CN"/>
    </w:rPr>
  </w:style>
  <w:style w:type="character" w:customStyle="1" w:styleId="UnresolvedMention">
    <w:name w:val="Unresolved Mention"/>
    <w:basedOn w:val="Fontepargpadro"/>
    <w:uiPriority w:val="99"/>
    <w:semiHidden/>
    <w:unhideWhenUsed/>
    <w:rsid w:val="00710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38749">
      <w:bodyDiv w:val="1"/>
      <w:marLeft w:val="0"/>
      <w:marRight w:val="0"/>
      <w:marTop w:val="0"/>
      <w:marBottom w:val="0"/>
      <w:divBdr>
        <w:top w:val="none" w:sz="0" w:space="0" w:color="auto"/>
        <w:left w:val="none" w:sz="0" w:space="0" w:color="auto"/>
        <w:bottom w:val="none" w:sz="0" w:space="0" w:color="auto"/>
        <w:right w:val="none" w:sz="0" w:space="0" w:color="auto"/>
      </w:divBdr>
    </w:div>
    <w:div w:id="213810696">
      <w:bodyDiv w:val="1"/>
      <w:marLeft w:val="0"/>
      <w:marRight w:val="0"/>
      <w:marTop w:val="0"/>
      <w:marBottom w:val="0"/>
      <w:divBdr>
        <w:top w:val="none" w:sz="0" w:space="0" w:color="auto"/>
        <w:left w:val="none" w:sz="0" w:space="0" w:color="auto"/>
        <w:bottom w:val="none" w:sz="0" w:space="0" w:color="auto"/>
        <w:right w:val="none" w:sz="0" w:space="0" w:color="auto"/>
      </w:divBdr>
    </w:div>
    <w:div w:id="554780805">
      <w:bodyDiv w:val="1"/>
      <w:marLeft w:val="0"/>
      <w:marRight w:val="0"/>
      <w:marTop w:val="0"/>
      <w:marBottom w:val="0"/>
      <w:divBdr>
        <w:top w:val="none" w:sz="0" w:space="0" w:color="auto"/>
        <w:left w:val="none" w:sz="0" w:space="0" w:color="auto"/>
        <w:bottom w:val="none" w:sz="0" w:space="0" w:color="auto"/>
        <w:right w:val="none" w:sz="0" w:space="0" w:color="auto"/>
      </w:divBdr>
    </w:div>
    <w:div w:id="568614816">
      <w:bodyDiv w:val="1"/>
      <w:marLeft w:val="0"/>
      <w:marRight w:val="0"/>
      <w:marTop w:val="0"/>
      <w:marBottom w:val="0"/>
      <w:divBdr>
        <w:top w:val="none" w:sz="0" w:space="0" w:color="auto"/>
        <w:left w:val="none" w:sz="0" w:space="0" w:color="auto"/>
        <w:bottom w:val="none" w:sz="0" w:space="0" w:color="auto"/>
        <w:right w:val="none" w:sz="0" w:space="0" w:color="auto"/>
      </w:divBdr>
    </w:div>
    <w:div w:id="1026978422">
      <w:bodyDiv w:val="1"/>
      <w:marLeft w:val="0"/>
      <w:marRight w:val="0"/>
      <w:marTop w:val="0"/>
      <w:marBottom w:val="0"/>
      <w:divBdr>
        <w:top w:val="none" w:sz="0" w:space="0" w:color="auto"/>
        <w:left w:val="none" w:sz="0" w:space="0" w:color="auto"/>
        <w:bottom w:val="none" w:sz="0" w:space="0" w:color="auto"/>
        <w:right w:val="none" w:sz="0" w:space="0" w:color="auto"/>
      </w:divBdr>
    </w:div>
    <w:div w:id="1118375132">
      <w:bodyDiv w:val="1"/>
      <w:marLeft w:val="0"/>
      <w:marRight w:val="0"/>
      <w:marTop w:val="0"/>
      <w:marBottom w:val="0"/>
      <w:divBdr>
        <w:top w:val="none" w:sz="0" w:space="0" w:color="auto"/>
        <w:left w:val="none" w:sz="0" w:space="0" w:color="auto"/>
        <w:bottom w:val="none" w:sz="0" w:space="0" w:color="auto"/>
        <w:right w:val="none" w:sz="0" w:space="0" w:color="auto"/>
      </w:divBdr>
    </w:div>
    <w:div w:id="1126778454">
      <w:bodyDiv w:val="1"/>
      <w:marLeft w:val="0"/>
      <w:marRight w:val="0"/>
      <w:marTop w:val="0"/>
      <w:marBottom w:val="0"/>
      <w:divBdr>
        <w:top w:val="none" w:sz="0" w:space="0" w:color="auto"/>
        <w:left w:val="none" w:sz="0" w:space="0" w:color="auto"/>
        <w:bottom w:val="none" w:sz="0" w:space="0" w:color="auto"/>
        <w:right w:val="none" w:sz="0" w:space="0" w:color="auto"/>
      </w:divBdr>
    </w:div>
    <w:div w:id="1167407735">
      <w:bodyDiv w:val="1"/>
      <w:marLeft w:val="0"/>
      <w:marRight w:val="0"/>
      <w:marTop w:val="0"/>
      <w:marBottom w:val="0"/>
      <w:divBdr>
        <w:top w:val="none" w:sz="0" w:space="0" w:color="auto"/>
        <w:left w:val="none" w:sz="0" w:space="0" w:color="auto"/>
        <w:bottom w:val="none" w:sz="0" w:space="0" w:color="auto"/>
        <w:right w:val="none" w:sz="0" w:space="0" w:color="auto"/>
      </w:divBdr>
    </w:div>
    <w:div w:id="1339308656">
      <w:bodyDiv w:val="1"/>
      <w:marLeft w:val="0"/>
      <w:marRight w:val="0"/>
      <w:marTop w:val="0"/>
      <w:marBottom w:val="0"/>
      <w:divBdr>
        <w:top w:val="none" w:sz="0" w:space="0" w:color="auto"/>
        <w:left w:val="none" w:sz="0" w:space="0" w:color="auto"/>
        <w:bottom w:val="none" w:sz="0" w:space="0" w:color="auto"/>
        <w:right w:val="none" w:sz="0" w:space="0" w:color="auto"/>
      </w:divBdr>
    </w:div>
    <w:div w:id="1408191958">
      <w:bodyDiv w:val="1"/>
      <w:marLeft w:val="0"/>
      <w:marRight w:val="0"/>
      <w:marTop w:val="0"/>
      <w:marBottom w:val="0"/>
      <w:divBdr>
        <w:top w:val="none" w:sz="0" w:space="0" w:color="auto"/>
        <w:left w:val="none" w:sz="0" w:space="0" w:color="auto"/>
        <w:bottom w:val="none" w:sz="0" w:space="0" w:color="auto"/>
        <w:right w:val="none" w:sz="0" w:space="0" w:color="auto"/>
      </w:divBdr>
    </w:div>
    <w:div w:id="1417897148">
      <w:bodyDiv w:val="1"/>
      <w:marLeft w:val="0"/>
      <w:marRight w:val="0"/>
      <w:marTop w:val="0"/>
      <w:marBottom w:val="0"/>
      <w:divBdr>
        <w:top w:val="none" w:sz="0" w:space="0" w:color="auto"/>
        <w:left w:val="none" w:sz="0" w:space="0" w:color="auto"/>
        <w:bottom w:val="none" w:sz="0" w:space="0" w:color="auto"/>
        <w:right w:val="none" w:sz="0" w:space="0" w:color="auto"/>
      </w:divBdr>
    </w:div>
    <w:div w:id="1468205736">
      <w:bodyDiv w:val="1"/>
      <w:marLeft w:val="0"/>
      <w:marRight w:val="0"/>
      <w:marTop w:val="0"/>
      <w:marBottom w:val="0"/>
      <w:divBdr>
        <w:top w:val="none" w:sz="0" w:space="0" w:color="auto"/>
        <w:left w:val="none" w:sz="0" w:space="0" w:color="auto"/>
        <w:bottom w:val="none" w:sz="0" w:space="0" w:color="auto"/>
        <w:right w:val="none" w:sz="0" w:space="0" w:color="auto"/>
      </w:divBdr>
    </w:div>
    <w:div w:id="1583223780">
      <w:bodyDiv w:val="1"/>
      <w:marLeft w:val="0"/>
      <w:marRight w:val="0"/>
      <w:marTop w:val="0"/>
      <w:marBottom w:val="0"/>
      <w:divBdr>
        <w:top w:val="none" w:sz="0" w:space="0" w:color="auto"/>
        <w:left w:val="none" w:sz="0" w:space="0" w:color="auto"/>
        <w:bottom w:val="none" w:sz="0" w:space="0" w:color="auto"/>
        <w:right w:val="none" w:sz="0" w:space="0" w:color="auto"/>
      </w:divBdr>
    </w:div>
    <w:div w:id="1848518784">
      <w:bodyDiv w:val="1"/>
      <w:marLeft w:val="0"/>
      <w:marRight w:val="0"/>
      <w:marTop w:val="0"/>
      <w:marBottom w:val="0"/>
      <w:divBdr>
        <w:top w:val="none" w:sz="0" w:space="0" w:color="auto"/>
        <w:left w:val="none" w:sz="0" w:space="0" w:color="auto"/>
        <w:bottom w:val="none" w:sz="0" w:space="0" w:color="auto"/>
        <w:right w:val="none" w:sz="0" w:space="0" w:color="auto"/>
      </w:divBdr>
    </w:div>
    <w:div w:id="1908101862">
      <w:bodyDiv w:val="1"/>
      <w:marLeft w:val="0"/>
      <w:marRight w:val="0"/>
      <w:marTop w:val="0"/>
      <w:marBottom w:val="0"/>
      <w:divBdr>
        <w:top w:val="none" w:sz="0" w:space="0" w:color="auto"/>
        <w:left w:val="none" w:sz="0" w:space="0" w:color="auto"/>
        <w:bottom w:val="none" w:sz="0" w:space="0" w:color="auto"/>
        <w:right w:val="none" w:sz="0" w:space="0" w:color="auto"/>
      </w:divBdr>
    </w:div>
    <w:div w:id="2065519535">
      <w:bodyDiv w:val="1"/>
      <w:marLeft w:val="0"/>
      <w:marRight w:val="0"/>
      <w:marTop w:val="0"/>
      <w:marBottom w:val="0"/>
      <w:divBdr>
        <w:top w:val="none" w:sz="0" w:space="0" w:color="auto"/>
        <w:left w:val="none" w:sz="0" w:space="0" w:color="auto"/>
        <w:bottom w:val="none" w:sz="0" w:space="0" w:color="auto"/>
        <w:right w:val="none" w:sz="0" w:space="0" w:color="auto"/>
      </w:divBdr>
    </w:div>
    <w:div w:id="214133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oleObject" Target="embeddings/oleObject1.bin"/><Relationship Id="rId39" Type="http://schemas.microsoft.com/office/2007/relationships/hdphoto" Target="media/hdphoto2.wdp"/><Relationship Id="rId21" Type="http://schemas.openxmlformats.org/officeDocument/2006/relationships/image" Target="media/image13.tiff"/><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35.emf"/><Relationship Id="rId50" Type="http://schemas.openxmlformats.org/officeDocument/2006/relationships/oleObject" Target="embeddings/Desenho_do_Microsoft_Visio_2003-20103.vsd"/><Relationship Id="rId55" Type="http://schemas.openxmlformats.org/officeDocument/2006/relationships/hyperlink" Target="https://www.abntcatalogo.com.br/norma.aspx?ID=412387" TargetMode="External"/><Relationship Id="rId63" Type="http://schemas.openxmlformats.org/officeDocument/2006/relationships/hyperlink" Target="https://books.google.com.br/books/about/O_Ciclo_Total_de_Vida_das_Instala%C3%A7%C3%B5es.html?id=RI5xDwAAQBAJ&amp;redir_esc=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38.emf"/><Relationship Id="rId58" Type="http://schemas.openxmlformats.org/officeDocument/2006/relationships/hyperlink" Target="http://cobei-sc-31-atmosferas-explosivas.blogspot.com"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6.emf"/><Relationship Id="rId57" Type="http://schemas.openxmlformats.org/officeDocument/2006/relationships/image" Target="media/image40.jpeg"/><Relationship Id="rId61" Type="http://schemas.openxmlformats.org/officeDocument/2006/relationships/hyperlink" Target="https://drive.google.com/file/d/1vNXFhP1XNXvvefNSVxazLkMoTmNkxCUk/view" TargetMode="External"/><Relationship Id="rId10" Type="http://schemas.openxmlformats.org/officeDocument/2006/relationships/oleObject" Target="embeddings/Desenho_do_Microsoft_Visio_2003-20101.vsd"/><Relationship Id="rId19" Type="http://schemas.openxmlformats.org/officeDocument/2006/relationships/image" Target="media/image11.tiff"/><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package" Target="embeddings/Desenho_do_Microsoft_Visio1.vsdx"/><Relationship Id="rId60" Type="http://schemas.openxmlformats.org/officeDocument/2006/relationships/hyperlink" Target="https://www.iecex.com/assets/dmsdocuments/1784/OD-017-Ed5-Drawing-documentation-for-use-Manufacturers-ExTLs-pt.pdf"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microsoft.com/office/2007/relationships/hdphoto" Target="media/hdphoto3.wdp"/><Relationship Id="rId48" Type="http://schemas.openxmlformats.org/officeDocument/2006/relationships/oleObject" Target="embeddings/Desenho_do_Microsoft_Visio_2003-20102.vsd"/><Relationship Id="rId56" Type="http://schemas.openxmlformats.org/officeDocument/2006/relationships/image" Target="media/image39.jpeg"/><Relationship Id="rId64" Type="http://schemas.openxmlformats.org/officeDocument/2006/relationships/hyperlink" Target="https://drive.google.com/file/d/1WRoku5h0kwxKD2OyDtPogLJfXRslFJb2/view" TargetMode="External"/><Relationship Id="rId8" Type="http://schemas.openxmlformats.org/officeDocument/2006/relationships/image" Target="media/image1.png"/><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7.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jpeg"/><Relationship Id="rId59" Type="http://schemas.openxmlformats.org/officeDocument/2006/relationships/hyperlink" Target="http://conexaodt.abnt.org.br/wp-content/uploads/2018/01/ABNTDIRETIVA3_2017.pdf" TargetMode="External"/><Relationship Id="rId67" Type="http://schemas.openxmlformats.org/officeDocument/2006/relationships/fontTable" Target="fontTable.xml"/><Relationship Id="rId20" Type="http://schemas.openxmlformats.org/officeDocument/2006/relationships/image" Target="media/image12.tiff"/><Relationship Id="rId41" Type="http://schemas.openxmlformats.org/officeDocument/2006/relationships/image" Target="media/image30.png"/><Relationship Id="rId54" Type="http://schemas.openxmlformats.org/officeDocument/2006/relationships/oleObject" Target="embeddings/Desenho_do_Microsoft_Visio_2003-20104.vsd"/><Relationship Id="rId62" Type="http://schemas.openxmlformats.org/officeDocument/2006/relationships/hyperlink" Target="https://drive.google.com/file/d/1DPlnewFOXfKzaenzlB7i2XUBgnaYmcYY/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6EE2A-C26A-4AD1-942A-1F547C93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8048</Words>
  <Characters>43460</Characters>
  <Application>Microsoft Office Word</Application>
  <DocSecurity>0</DocSecurity>
  <Lines>362</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Tipo de proteção Ex "i"</vt:lpstr>
      <vt:lpstr>Tipo de proteção Ex "t"</vt:lpstr>
    </vt:vector>
  </TitlesOfParts>
  <Manager>PETROBRAS</Manager>
  <Company>PETROBRAS</Company>
  <LinksUpToDate>false</LinksUpToDate>
  <CharactersWithSpaces>51406</CharactersWithSpaces>
  <SharedDoc>false</SharedDoc>
  <HLinks>
    <vt:vector size="30" baseType="variant">
      <vt:variant>
        <vt:i4>655377</vt:i4>
      </vt:variant>
      <vt:variant>
        <vt:i4>21</vt:i4>
      </vt:variant>
      <vt:variant>
        <vt:i4>0</vt:i4>
      </vt:variant>
      <vt:variant>
        <vt:i4>5</vt:i4>
      </vt:variant>
      <vt:variant>
        <vt:lpwstr>http://revistapotencia.com.br/noticias/ultimas-noticias/item/1188-converg%C3%AAncia-regulat%C3%B3ria-mundial-ex.html</vt:lpwstr>
      </vt:variant>
      <vt:variant>
        <vt:lpwstr/>
      </vt:variant>
      <vt:variant>
        <vt:i4>1835015</vt:i4>
      </vt:variant>
      <vt:variant>
        <vt:i4>18</vt:i4>
      </vt:variant>
      <vt:variant>
        <vt:i4>0</vt:i4>
      </vt:variant>
      <vt:variant>
        <vt:i4>5</vt:i4>
      </vt:variant>
      <vt:variant>
        <vt:lpwstr>http://www.iso.org/iso/PUB100358.pdf</vt:lpwstr>
      </vt:variant>
      <vt:variant>
        <vt:lpwstr/>
      </vt:variant>
      <vt:variant>
        <vt:i4>5373980</vt:i4>
      </vt:variant>
      <vt:variant>
        <vt:i4>15</vt:i4>
      </vt:variant>
      <vt:variant>
        <vt:i4>0</vt:i4>
      </vt:variant>
      <vt:variant>
        <vt:i4>5</vt:i4>
      </vt:variant>
      <vt:variant>
        <vt:lpwstr>http://www.iecex.com/operational.htm</vt:lpwstr>
      </vt:variant>
      <vt:variant>
        <vt:lpwstr/>
      </vt:variant>
      <vt:variant>
        <vt:i4>3014702</vt:i4>
      </vt:variant>
      <vt:variant>
        <vt:i4>12</vt:i4>
      </vt:variant>
      <vt:variant>
        <vt:i4>0</vt:i4>
      </vt:variant>
      <vt:variant>
        <vt:i4>5</vt:i4>
      </vt:variant>
      <vt:variant>
        <vt:lpwstr>http://www.iec.ch/about/brochures/pdf/conformity_assessment/IEC_A Common Regulatory Framework_UN_Pt.pdf</vt:lpwstr>
      </vt:variant>
      <vt:variant>
        <vt:lpwstr/>
      </vt:variant>
      <vt:variant>
        <vt:i4>2949230</vt:i4>
      </vt:variant>
      <vt:variant>
        <vt:i4>9</vt:i4>
      </vt:variant>
      <vt:variant>
        <vt:i4>0</vt:i4>
      </vt:variant>
      <vt:variant>
        <vt:i4>5</vt:i4>
      </vt:variant>
      <vt:variant>
        <vt:lpwstr>http://staubex.ifa.dguv.de/?lang=e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Tipo de proteção Ex "i"</dc:title>
  <dc:subject>Sistemas intrinsecamente seguros</dc:subject>
  <dc:creator>Roberval Bulgarelli</dc:creator>
  <cp:keywords>Atmosferas explosivas</cp:keywords>
  <dc:description>Sistemas intrinsecamente seguros</dc:description>
  <cp:lastModifiedBy>Roberval Bulgarelli</cp:lastModifiedBy>
  <cp:revision>4</cp:revision>
  <cp:lastPrinted>2019-03-05T14:47:00Z</cp:lastPrinted>
  <dcterms:created xsi:type="dcterms:W3CDTF">2019-03-07T11:36:00Z</dcterms:created>
  <dcterms:modified xsi:type="dcterms:W3CDTF">2019-03-11T15:18:00Z</dcterms:modified>
  <cp:category>Tipo de proteção Ex "i"</cp:category>
  <cp:contentStatus>Sistemas intrinsecamente seguros</cp:contentStatus>
</cp:coreProperties>
</file>